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GerüstbArbbV 9 — Außerkrafttreten</w:t>
      </w:r>
    </w:p>
    <w:p>
      <w:r>
        <w:rPr>
          <w:color w:val="555555"/>
          <w:sz w:val="18"/>
        </w:rPr>
        <w:t xml:space="preserve">Neunte Gerüstbauerarbeitsbedingungenverordnung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Diese Verordnung tritt mit Ablauf des 31. Dezember 2027 außer Kraft.</w:t>
      </w:r>
    </w:p>
    <w:p>
      <w:r>
        <w:rPr>
          <w:color w:val="555555"/>
          <w:sz w:val="17"/>
        </w:rPr>
        <w:t xml:space="preserve">Zitiervorschlag: § 2 GerüstbArbbV 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https://recht.nulegal.eu/gesetze/Ger%C3%BCstbArbbV%209/2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