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GerüstbArbbV 6</w:t>
      </w:r>
    </w:p>
    <w:p>
      <w:r>
        <w:rPr>
          <w:color w:val="555555"/>
          <w:sz w:val="18"/>
        </w:rPr>
        <w:t xml:space="preserve">Sechste Gerüstbauerarbeitsbedingungenverordnung</w:t>
      </w:r>
    </w:p>
    <w:p>
      <w:r>
        <w:rPr>
          <w:color w:val="555555"/>
          <w:sz w:val="18"/>
        </w:rPr>
        <w:t xml:space="preserve">Historische Fassung: Stand 02.03.2021 bis 01.10.2021. Dies ist nicht die aktuelle Fassung.</w:t>
      </w:r>
    </w:p>
    <w:p>
      <w:r>
        <w:t xml:space="preserve">Auf Grund des § 7 Absatz 1 und 2 in Verbindung mit Absatz 4 des Arbeitnehmer-Entsendegesetzes, dessen Absatz 1 durch Artikel 1 Nummer 7 des Gesetzes vom 10. Juli 2020 (BGBl. I S. 1657) und dessen Absatz 4 durch Artikel 6 Nummer 6 Buchstabe c des Gesetzes vom 11. August 2014 (BGBl. I S. 1348) geändert worden ist, verordnet das Bundesministerium für Arbeit und Soziales, nachdem es den in den Geltungsbereich dieser Verordnung fallenden Arbeitgebern, Arbeitnehmern und Arbeitnehmerinnen, den Parteien des Tarifvertrags nach § 1 Absatz 1 dieser Verordnung, den Parteien von Tarifverträgen in der Branche mit zumindest teilweise demselben fachlichen Geltungsbereich sowie den paritätisch besetzten Kommissionen, die auf der Grundlage kirchlichen Rechts Arbeitsbedingungen für den Bereich kirchlicher Arbeitgeber zumindest teilweise im Geltungsbereich dieser Rechtsverordnung festlegen, Gelegenheit zur schriftlichen Stellungnahme gegeben hat:</w:t>
      </w:r>
    </w:p>
    <w:p>
      <w:r>
        <w:rPr>
          <w:color w:val="555555"/>
          <w:sz w:val="17"/>
        </w:rPr>
        <w:t xml:space="preserve">Zitiervorschlag: Eingangsformel GerüstbArbbV 6</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https://recht.nulegal.eu/gesetze/Ger%C3%BCstbArbbV%206/eingangsformel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