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GerüstbArbbV 5 — Inkrafttreten, Außerkrafttreten</w:t>
      </w:r>
    </w:p>
    <w:p>
      <w:r>
        <w:rPr>
          <w:color w:val="555555"/>
          <w:sz w:val="18"/>
        </w:rPr>
        <w:t xml:space="preserve">Fünfte Gerüstbauerarbeitsbedingungenverordnung</w:t>
      </w:r>
    </w:p>
    <w:p>
      <w:r>
        <w:rPr>
          <w:color w:val="555555"/>
          <w:sz w:val="18"/>
        </w:rPr>
        <w:t xml:space="preserve">Historische Fassung: Stand 02.07.2019 bis 01.08.2020. Dies ist nicht die aktuelle Fassung.</w:t>
      </w:r>
    </w:p>
    <w:p>
      <w:r>
        <w:t xml:space="preserve">Diese Verordnung tritt am 1. Juli 2019 in Kraft und am 31. Juli 2020 außer Kraft.</w:t>
      </w:r>
    </w:p>
    <w:p>
      <w:r>
        <w:rPr>
          <w:color w:val="555555"/>
          <w:sz w:val="17"/>
        </w:rPr>
        <w:t xml:space="preserve">Zitiervorschlag: § 3 GerüstbArbbV 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