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GerüstbArbbV 5 — Anwendungsausnahmen</w:t>
      </w:r>
    </w:p>
    <w:p>
      <w:r>
        <w:rPr>
          <w:color w:val="555555"/>
          <w:sz w:val="18"/>
        </w:rPr>
        <w:t xml:space="preserve">Fünfte Gerüstbauerarbeitsbedingungenverordnung</w:t>
      </w:r>
    </w:p>
    <w:p>
      <w:r>
        <w:rPr>
          <w:color w:val="555555"/>
          <w:sz w:val="18"/>
        </w:rPr>
        <w:t xml:space="preserve">Historische Fassung: Stand 02.07.2019 bis 01.08.2020. Dies ist nicht die aktuelle Fassung.</w:t>
      </w:r>
    </w:p>
    <w:p>
      <w:r>
        <w:t xml:space="preserve">Diese Verordnung findet keine Anwendung auf Gesamtheiten von Arbeitnehmern und Arbeitnehmerinnen im Sinne des § 1 Nummer 2 Abschnitt II Satz 3 des TV Mindestlohn,</w:t>
      </w:r>
    </w:p>
    <w:p>
      <w:pPr>
        <w:ind w:left="420"/>
      </w:pPr>
      <w:r>
        <w:t xml:space="preserve">1. deren Arbeitgeber anderweitig tarifvertraglich gebunden sind oder</w:t>
      </w:r>
    </w:p>
    <w:p>
      <w:pPr>
        <w:ind w:left="420"/>
      </w:pPr>
      <w:r>
        <w:t xml:space="preserve">2. die bei Arbeitgebern mit Sitz im Ausland beschäftigt sind.</w:t>
      </w:r>
    </w:p>
    <w:p>
      <w:r>
        <w:rPr>
          <w:color w:val="555555"/>
          <w:sz w:val="17"/>
        </w:rPr>
        <w:t xml:space="preserve">Zitiervorschlag: § 2 GerüstbArbbV 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