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GepBetrWMAProBusManFV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Auf Grund des § 53 Absatz 1 in Verbindung mit Absatz 2 und mit den §§ 53a und 53d des Berufsbildungsgesetzes in der Fassung der Bekanntmachung vom 4. Mai 2020 (BGBl. I S. 920),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