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GepBetrWMAProBusManFV — (zu den §§ 15 und 16) Bewertungsmaßstab und -schlüssel</w:t>
      </w:r>
    </w:p>
    <w:p>
      <w:r>
        <w:rPr>
          <w:color w:val="555555"/>
          <w:sz w:val="18"/>
        </w:rPr>
        <w:t xml:space="preserve">Geprüfter Betriebswirt-Master Professional Business Management-Fortbildungsverordnung</w:t>
      </w:r>
    </w:p>
    <w:p>
      <w:r>
        <w:rPr>
          <w:color w:val="555555"/>
          <w:sz w:val="18"/>
        </w:rPr>
        <w:t xml:space="preserve">Stand: 24.12.2020 (konsolidierte Textfassung, kein amtliches Inkrafttretensdatum)</w:t>
      </w:r>
    </w:p>
    <w:p>
      <w:r>
        <w:t xml:space="preserve">(Fundstelle: BGBl. I 2020, 3085 - 3086)</w:t>
      </w:r>
    </w:p>
    <w:p>
      <w:r>
        <w:rPr>
          <w:rFonts w:ascii="Courier New" w:hAnsi="Courier New"/>
          <w:sz w:val="17"/>
        </w:rPr>
        <w:t xml:space="preserve">Punkte    Note 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1 GepBetrWMAProBusManFV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https://recht.nulegal.eu/gesetze/GepBetrWMAProBusManFV/anlage-1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