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GepBetrWMAProBusManFV — Ziel der Prüfung zum Erwerb des Fortbildungsabschlusses und dessen Bezeichnung</w:t>
      </w:r>
    </w:p>
    <w:p>
      <w:r>
        <w:rPr>
          <w:color w:val="555555"/>
          <w:sz w:val="18"/>
        </w:rPr>
        <w:t xml:space="preserve">Geprüfter Betriebswirt-Master Professional Business Management-Fortbildungsverordnung</w:t>
      </w:r>
    </w:p>
    <w:p>
      <w:r>
        <w:rPr>
          <w:color w:val="555555"/>
          <w:sz w:val="18"/>
        </w:rPr>
        <w:t xml:space="preserve">Stand: 24.12.2020 (konsolidierte Textfassung, kein amtliches Inkrafttretensdatum)</w:t>
      </w:r>
    </w:p>
    <w:p>
      <w:r>
        <w:t xml:space="preserve">(1) Mit der erfolgreich abgelegten Prüfung zum anerkannten Fortbildungsabschluss „Geprüfter Betriebswirt nach dem Berufsbildungsgesetz-Master Professional in Business Management nach dem Berufsbildungsgesetz“ oder „Geprüfte Betriebswirtin nach dem Berufsbildungsgesetz-Master Professional in Business Management nach dem Berufsbildungsgesetz“ wird die auf einen beruflichen Aufstieg abzielende Erweiterung der beruflichen Handlungsfähigkeit auf der dritten beruflichen Fortbildungsstufe der höherqualifizierenden Berufsbildung nachgewiesen.</w:t>
      </w:r>
    </w:p>
    <w:p>
      <w:r>
        <w:t xml:space="preserve">(2) Die Prüfung wird von der zuständigen Stelle durchgeführt.</w:t>
      </w:r>
    </w:p>
    <w:p>
      <w:r>
        <w:t xml:space="preserve">(3) Durch die Prüfung ist festzustellen, ob die zu prüfende Person in der Lage ist, selbständig oder im Rahmen eines Beschäftigungsverhältnisses für Unternehmen und Organisationen unterschiedlicher Art, Größe und Wirtschaftszweige unter Berücksichtigung der ökonomischen, ökologischen und ethischen Handlungsfelder eines nachhaltigen Wirtschaftens eigenständig und verantwortlich strategische Entscheidungen vorzubereiten und umzusetzen und damit die Fertigkeiten, Kenntnisse und Fähigkeiten, die sie in der Regel mit der Vorbereitung auf eine Fortbildungsprüfung der zweiten Fortbildungsstufe erworben hat, vertieft und neue Fertigkeiten, Kenntnisse und Fähigkeiten erworben hat, die erforderlich sind für die verantwortliche Führung von Organisationen oder zur Bearbeitung von neuen, komplexen Aufgaben- und Problemstellungen wie der Entwicklung von Verfahren und Produkten. Zu diesen Aufgaben gehören</w:t>
      </w:r>
    </w:p>
    <w:p>
      <w:pPr>
        <w:ind w:left="420"/>
      </w:pPr>
      <w:r>
        <w:t xml:space="preserve">1. Strategien unter Berücksichtigung der Unternehmensziele im Rahmen der Unternehmensführung entwickeln,</w:t>
      </w:r>
    </w:p>
    <w:p>
      <w:pPr>
        <w:ind w:left="420"/>
      </w:pPr>
      <w:r>
        <w:t xml:space="preserve">2. Leistungsprozesse im nationalen und internationalen Marktumfeld unter Beachtung regulativer und finanzwirtschaftlicher Rahmenbedingungen gestalten,</w:t>
      </w:r>
    </w:p>
    <w:p>
      <w:pPr>
        <w:ind w:left="420"/>
      </w:pPr>
      <w:r>
        <w:t xml:space="preserve">3. organisatorische Rahmenbedingungen weiterentwickeln sowie</w:t>
      </w:r>
    </w:p>
    <w:p>
      <w:pPr>
        <w:ind w:left="420"/>
      </w:pPr>
      <w:r>
        <w:t xml:space="preserve">4. Strategien umsetzen, Unternehmensprozesse steuern, überwachen und notwendige Anpassungen vornehmen.</w:t>
      </w:r>
    </w:p>
    <w:p>
      <w:r>
        <w:t xml:space="preserve">(4) Für den Erwerb der in Absatz 3 bezeichneten Fertigkeiten, Kenntnisse und Fähigkeiten bedarf es in der Regel eines Lernumfangs von insgesamt mindestens 1 600 Stunden. Der Lerninhalt bestimmt sich nach den Anforderungen der in § 4 in Verbindung mit den §§ 5 bis 9 genannten Handlungsbereiche.</w:t>
      </w:r>
    </w:p>
    <w:p>
      <w:r>
        <w:t xml:space="preserve">(5) Die erfolgreich abgelegte Prüfung führt zum anerkannten Fortbildungsabschluss „Master Professional in Business Management nach dem Berufsbildungsgesetz“. Der Abschlussbezeichnung wird die weitere Abschlussbezeichnung „Geprüfter Betriebswirt nach dem Berufsbildungsgesetz“ oder „Geprüfte Betriebswirtin nach dem Berufsbildungsgesetz“ vorangestellt.</w:t>
      </w:r>
    </w:p>
    <w:p>
      <w:r>
        <w:rPr>
          <w:color w:val="555555"/>
          <w:sz w:val="17"/>
        </w:rPr>
        <w:t xml:space="preserve">Zitiervorschlag: § 2 GepBetrWMAProBusManFV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https://recht.nulegal.eu/gesetze/GepBetrWMAProBusManFV/2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