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GepBetrWMAProBusManFV — Gegenstand</w:t>
      </w:r>
    </w:p>
    <w:p>
      <w:r>
        <w:rPr>
          <w:color w:val="555555"/>
          <w:sz w:val="18"/>
        </w:rPr>
        <w:t xml:space="preserve">Geprüfter Betriebswirt-Master Professional Business Management-Fortbildungsverordnung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Diese Verordnung regelt die Prüfung zum anerkannten Fortbildungsabschluss „Geprüfter Betriebswirt nach dem Berufsbildungsgesetz-Master Professional in Business Management nach dem Berufsbildungsgesetz“ und „Geprüfte Betriebswirtin nach dem Berufsbildungsgesetz-Master Professional in Business Management nach dem Berufsbildungsgesetz“.</w:t>
      </w:r>
    </w:p>
    <w:p>
      <w:r>
        <w:rPr>
          <w:color w:val="555555"/>
          <w:sz w:val="17"/>
        </w:rPr>
        <w:t xml:space="preserve">Zitiervorschlag: § 1 GepBetrWMAProBusManFV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https://recht.nulegal.eu/gesetze/GepBetrWMAProBusManFV/1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