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GeolOWiZuVO (Sachsen)</w:t>
      </w:r>
    </w:p>
    <w:p>
      <w:r>
        <w:rPr>
          <w:color w:val="555555"/>
          <w:sz w:val="18"/>
        </w:rPr>
        <w:t xml:space="preserve">Geologiedaten-Ordnungswidrigkeiten-Zuständigkeitsverordnung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36 Absatz 2 Satz 1 des Gesetzes über Ordnungswidrigkeiten in der Fassung der Bekanntmachung vom 19. Februar 1987 (BGBl. I S. 602) in Verbindung mit § 16 Nummer 1 der Ordnungswidrigkeiten-Zuständigkeitsverordnung vom 16. Juni 2014 (SächsGVBl. S. 342) verordnet das Staatsministerium für Energie, Klimaschutz, Umwelt und Landwirtschaft:</w:t>
      </w:r>
    </w:p>
    <w:p>
      <w:r>
        <w:rPr>
          <w:color w:val="555555"/>
          <w:sz w:val="17"/>
        </w:rPr>
        <w:t xml:space="preserve">Zitiervorschlag: Eingangsformel GeolOWiZuVO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https://recht.nulegal.eu/gesetze/GeolOWiZuVO/eingangsformel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