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GeolOWiZuVO (Sachsen) — Zuständigkeit</w:t>
      </w:r>
    </w:p>
    <w:p>
      <w:r>
        <w:rPr>
          <w:color w:val="555555"/>
          <w:sz w:val="18"/>
        </w:rPr>
        <w:t xml:space="preserve">Geologiedaten-Ordnungswidrigkeiten-Zuständigkeitsverordnung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Umwelt, Landwirtschaft und Geologie ist zuständig für die Verfolgung und Ahndung von Ordnungswidrigkeiten nach dem Geologiedatengesetz vom 19. Juni 2020 (BGBl. I S. 1387) in der jeweils geltenden Fassung, soweit es für den Vollzug nach § 1 der Geologiedaten-Zuständigkeitsverordnung vom 20. November 2020 (SächsGVBl. S. 708) in der jeweils geltenden Fassung zuständig ist.</w:t>
      </w:r>
    </w:p>
    <w:p>
      <w:r>
        <w:rPr>
          <w:color w:val="555555"/>
          <w:sz w:val="17"/>
        </w:rPr>
        <w:t xml:space="preserve">Zitiervorschlag: § 1 GeolOWiZuVO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https://recht.nulegal.eu/gesetze/GeolOWiZuVO/1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