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GeolDG — Anzeige geologischer Untersuchungen und Übermittlung von Nachweisdaten an die zuständige Behörde</w:t>
      </w:r>
    </w:p>
    <w:p>
      <w:r>
        <w:rPr>
          <w:color w:val="555555"/>
          <w:sz w:val="18"/>
        </w:rPr>
        <w:t xml:space="preserve">Geologiedatengesetz</w:t>
      </w:r>
    </w:p>
    <w:p>
      <w:r>
        <w:rPr>
          <w:color w:val="555555"/>
          <w:sz w:val="18"/>
        </w:rPr>
        <w:t xml:space="preserve">Stand: 30.06.2020 (konsolidierte Textfassung, kein amtliches Inkrafttretensdatum)</w:t>
      </w:r>
    </w:p>
    <w:p>
      <w:r>
        <w:t xml:space="preserve">Spätestens zwei Wochen vor Beginn einer geologischen Untersuchung haben die nach § 14 Satz 1 Nummer 1, 2 und 3 verpflichteten Personen die geologische Untersuchung der zuständigen Behörde unaufgefordert anzuzeigen, unbeschadet der für die Untersuchung einschlägigen Vorschriften anderer Gesetze. Dazu haben sie der zuständigen Behörde, sofern bekannt, die folgenden Nachweisdaten zu übermitteln:</w:t>
      </w:r>
    </w:p>
    <w:p>
      <w:pPr>
        <w:ind w:left="420"/>
      </w:pPr>
      <w:r>
        <w:t xml:space="preserve">1. die Bezeichnung und den Zweck der geologischen Untersuchung sowie den Namen und die Anschrift der anzeigenden Person sowie der Person, die die Untersuchung in Auftrag gegeben hat; bei juristischen Personen und Personengesellschaften: den Namen und die Anschrift einer nach Gesetz, Satzung oder Gesellschaftsvertrag zur Vertretung berechtigten Person,</w:t>
      </w:r>
    </w:p>
    <w:p>
      <w:pPr>
        <w:ind w:left="420"/>
      </w:pPr>
      <w:r>
        <w:t xml:space="preserve">2. die Art, die Methode, den voraussichtlichen Umfang und die geplante Dauer der geologischen Untersuchung,</w:t>
      </w:r>
    </w:p>
    <w:p>
      <w:pPr>
        <w:ind w:left="420"/>
      </w:pPr>
      <w:r>
        <w:t xml:space="preserve">3. bei flächenhaft durchgeführten geologischen Untersuchungen wie geologischen Kartierungen und geophysikalischen oder geochemischen Messungen: die Lage des Untersuchungsgebiets und, soweit möglich, die grafische Darstellung der Messpunkte,</w:t>
      </w:r>
    </w:p>
    <w:p>
      <w:pPr>
        <w:ind w:left="420"/>
      </w:pPr>
      <w:r>
        <w:t xml:space="preserve">4. bei Bohrungen: die voraussichtliche Bezeichnung der Bohrung, die geplante Lage und Ansatzhöhe des Bohrpunktes, den geplanten Bohrlochverlauf, die geplante Endteufe, die gegebenenfalls prognostizierten Gesteinsschichten, die geplanten Bohrlochmessungen, die Art des Bohrverfahrens sowie den voraussichtlichen künftigen Aufbewahrungsort und die beabsichtigte Aufbewahrungsdauer von Bohrkernen und Bohr-, Gesteins- und Bodenproben,</w:t>
      </w:r>
    </w:p>
    <w:p>
      <w:pPr>
        <w:ind w:left="420"/>
      </w:pPr>
      <w:r>
        <w:t xml:space="preserve">5. bei geologischen Untersuchungen wie der Aufnahme von geologischen Aufschlüssen, dem Anlegen von Schürfen oder der Beprobung von Bergbauhalden: die Lage der Untersuchungspunkte, die Art der geplanten Untersuchungen, gegebenenfalls die Art des Aufschlussverfahrens und, soweit möglich, die grafische Darstellung dieser Angaben sowie den voraussichtlichen künftigen Aufbewahrungsort und die beabsichtigte Aufbewahrungsdauer von Gesteins- und Bodenproben und</w:t>
      </w:r>
    </w:p>
    <w:p>
      <w:pPr>
        <w:ind w:left="420"/>
      </w:pPr>
      <w:r>
        <w:t xml:space="preserve">6. bei Neubearbeitungen öffentlich bereitgestellter Fachdaten und Bewertungsdaten: die Nachweisdaten, aus denen die Fachdaten und Bewertungsdaten, die in die geologische Untersuchung einbezogen werden, abgelesen werden können.</w:t>
      </w:r>
    </w:p>
    <w:p>
      <w:r>
        <w:t xml:space="preserve">Die Anzeige- und Übermittlungspflicht nach den Sätzen 1 und 2 wird auch durch die Übermittlung einer Anzeige oder eines Antrags an die zuständige Behörde erfüllt, wenn die Anzeige oder der Antrag auf Grund anderer Gesetze erstellt worden ist und soweit die Angaben nach Satz 2 darin enthalten sind. Die für ein Vorhaben geplanten geologischen Untersuchungen und die hierfür erforderlichen Daten können im Rahmen einer Anzeige oder eines Antrags angezeigt und übermittelt werden. Für die Anzeige- und Übermittlungspflicht während des laufenden Betriebs ist § 15 Absatz 2 entsprechend anzuwenden.</w:t>
      </w:r>
    </w:p>
    <w:p>
      <w:r>
        <w:rPr>
          <w:color w:val="555555"/>
          <w:sz w:val="17"/>
        </w:rPr>
        <w:t xml:space="preserve">Zitiervorschlag: § 8 GeolDG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https://recht.nulegal.eu/gesetze/GeolDG/8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