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GeolDG — Bußgeldvorschriften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Ordnungswidrig handelt, wer im Rahmen einer gewerblichen Tätigkeit vorsätzlich oder fahrlässig</w:t>
      </w:r>
    </w:p>
    <w:p>
      <w:pPr>
        <w:ind w:left="420"/>
      </w:pPr>
      <w:r>
        <w:t xml:space="preserve">1. entgegen § 8 Satz 1, auch in Verbindung mit einer Rechtsverordnung nach § 38 Absatz 1 Nummer 3, eine Anzeige nicht, nicht richtig, nicht vollständig oder nicht rechtzeitig erstattet,</w:t>
      </w:r>
    </w:p>
    <w:p>
      <w:pPr>
        <w:ind w:left="420"/>
      </w:pPr>
      <w:r>
        <w:t xml:space="preserve">2. entgegen § 9 Absatz 1 Satz 1 oder § 10 Absatz 1, jeweils auch in Verbindung mit einer Rechtsverordnung nach § 38 Absatz 1 Nummer 3, dort genannte Daten nicht, nicht richtig, nicht vollständig oder nicht rechtzeitig übermittelt,</w:t>
      </w:r>
    </w:p>
    <w:p>
      <w:pPr>
        <w:ind w:left="420"/>
      </w:pPr>
      <w:r>
        <w:t xml:space="preserve">3. einer vollziehbaren Anordnung nach § 9 Absatz 2 Satz 1, § 10 Absatz 2 Satz 1 oder Absatz 3 Satz 1 oder § 12 zuwiderhandelt oder</w:t>
      </w:r>
    </w:p>
    <w:p>
      <w:pPr>
        <w:ind w:left="420"/>
      </w:pPr>
      <w:r>
        <w:t xml:space="preserve">4. entgegen § 13 Satz 1 oder 2, jeweils auch in Verbindung mit einer Rechtsverordnung nach § 38 Absatz 1 Nummer 6, eine dort genannte Probe oder dort genannte Daten nicht, nicht richtig, nicht vollständig oder nicht rechtzeitig anbietet.</w:t>
      </w:r>
    </w:p>
    <w:p>
      <w:r>
        <w:t xml:space="preserve">(2) Die Ordnungswidrigkeit kann mit einer Geldbuße bis zu dreißigtausend Euro geahndet werden.</w:t>
      </w:r>
    </w:p>
    <w:p>
      <w:r>
        <w:rPr>
          <w:color w:val="555555"/>
          <w:sz w:val="17"/>
        </w:rPr>
        <w:t xml:space="preserve">Zitiervorschlag: § 39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