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38 GeolDG — Verordnungsermächtigung; Ausschluss abweichenden Landesrechts</w:t>
      </w:r>
    </w:p>
    <w:p>
      <w:r>
        <w:rPr>
          <w:color w:val="555555"/>
          <w:sz w:val="18"/>
        </w:rPr>
        <w:t xml:space="preserve">Geologiedatengesetz</w:t>
      </w:r>
    </w:p>
    <w:p>
      <w:r>
        <w:rPr>
          <w:color w:val="555555"/>
          <w:sz w:val="18"/>
        </w:rPr>
        <w:t xml:space="preserve">Stand: 30.06.2020 (konsolidierte Textfassung, kein amtliches Inkrafttretensdatum)</w:t>
      </w:r>
    </w:p>
    <w:p>
      <w:r>
        <w:t xml:space="preserve">(1) Die Landesregierungen können durch Rechtsverordnung Folgendes bestimmen:</w:t>
      </w:r>
    </w:p>
    <w:p>
      <w:pPr>
        <w:ind w:left="420"/>
      </w:pPr>
      <w:r>
        <w:t xml:space="preserve">1. die Festlegung, welche der in § 2 Absatz 5 Satz 1 genannten Vorschriften auf die vom Anwendungsbereich dieses Gesetzes ausgeschlossenen Daten nach § 2 Absatz 3 Satz 2 und 3 oder § 2 Absatz 4 Satz 2 anzuwenden sind,</w:t>
      </w:r>
    </w:p>
    <w:p>
      <w:pPr>
        <w:ind w:left="420"/>
      </w:pPr>
      <w:r>
        <w:t xml:space="preserve">2. die Festlegung, dass sich der Anwendungsbereich des Gesetzes nicht auf geologische Daten aus den in § 2 Absatz 5 Satz 2 genannten Untersuchungen erstreckt,</w:t>
      </w:r>
    </w:p>
    <w:p>
      <w:pPr>
        <w:ind w:left="420"/>
      </w:pPr>
      <w:r>
        <w:t xml:space="preserve">3. die näheren Anforderungen an die Anzeige und Übermittlung geologischer Daten nach den §§ 8 bis 10 einschließlich der Konkretisierung der nach § 14 Satz 1 verpflichteten Personen,</w:t>
      </w:r>
    </w:p>
    <w:p>
      <w:pPr>
        <w:ind w:left="420"/>
      </w:pPr>
      <w:r>
        <w:t xml:space="preserve">4. die Tatsachen, die eine eingeschränkte Anzeige- und Übermittlungspflicht begründen, sowie die näheren Anforderungen an die eingeschränkte Anzeige- und Übermittlungspflicht nach § 11 Absatz 1,</w:t>
      </w:r>
    </w:p>
    <w:p>
      <w:pPr>
        <w:ind w:left="420"/>
      </w:pPr>
      <w:r>
        <w:t xml:space="preserve">5. die näheren Anforderungen an die Vorhaltung geologischer Daten bei einer nach § 14 Satz 1 Nummer 1, 2 und 3 verpflichteten Behörde oder Person nach § 11 Absatz 2 sowie die näheren Anforderungen an die Befreiung einer nach § 14 Satz 1 Nummer 1, 2 und 3 verpflichteten Behörde oder Person nach § 11 Absatz 3,</w:t>
      </w:r>
    </w:p>
    <w:p>
      <w:pPr>
        <w:ind w:left="420"/>
      </w:pPr>
      <w:r>
        <w:t xml:space="preserve">6. die näheren Anforderungen an die Entledigung und Löschung von Proben und Daten nach § 13,</w:t>
      </w:r>
    </w:p>
    <w:p>
      <w:pPr>
        <w:ind w:left="420"/>
      </w:pPr>
      <w:r>
        <w:t xml:space="preserve">7. die näheren Anforderungen an die interoperablen Formate geologischer Daten nach § 16 Absatz 1 sowie die näheren Anforderungen an die elektronische Übermittlung nach § 16 Absatz 2,</w:t>
      </w:r>
    </w:p>
    <w:p>
      <w:pPr>
        <w:ind w:left="420"/>
      </w:pPr>
      <w:r>
        <w:t xml:space="preserve">8. die näheren Anforderungen an das Verfahren und die Formvorschriften für die Kennzeichnung von Nachweisdaten, Fachdaten und Bewertungsdaten nach § 17 Absatz 1,</w:t>
      </w:r>
    </w:p>
    <w:p>
      <w:pPr>
        <w:ind w:left="420"/>
      </w:pPr>
      <w:r>
        <w:t xml:space="preserve">9. die näheren Anforderungen an die öffentliche Bereitstellung geologischer Daten nach § 19 Absatz 2 oder an den Zugang zu öffentlich bereitgestellten geologischen Daten nach § 20,</w:t>
      </w:r>
    </w:p>
    <w:p>
      <w:pPr>
        <w:ind w:left="420"/>
      </w:pPr>
      <w:r>
        <w:t xml:space="preserve">10. die näheren Anforderungen an die Zurverfügungstellung geologischer Daten zur Erfüllung öffentlicher Aufgaben nach § 33, insbesondere zu den in § 1 genannten Zwecken.</w:t>
      </w:r>
    </w:p>
    <w:p>
      <w:r>
        <w:t xml:space="preserve">(2) Von den in diesem Gesetz getroffenen Regelungen des Verwaltungsverfahrens kann durch Landesrecht nicht abgewichen werden.</w:t>
      </w:r>
    </w:p>
    <w:p>
      <w:r>
        <w:rPr>
          <w:color w:val="555555"/>
          <w:sz w:val="17"/>
        </w:rPr>
        <w:t xml:space="preserve">Zitiervorschlag: § 38 GeolDG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https://recht.nulegal.eu/gesetze/GeolDG/38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