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GeolDG — Schutz öffentlicher Belange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Die zuständige Behörde hat sicherzustellen, dass geologische Daten nicht oder nicht innerhalb eines von ihr benannten Zeitraums öffentlich bereitgestellt werden, wenn oder solange die öffentliche Bereitstellung nachteilige Auswirkungen hätte auf</w:t>
      </w:r>
    </w:p>
    <w:p>
      <w:pPr>
        <w:ind w:left="420"/>
      </w:pPr>
      <w:r>
        <w:t xml:space="preserve">1. die internationalen Beziehungen oder die Verteidigung,</w:t>
      </w:r>
    </w:p>
    <w:p>
      <w:pPr>
        <w:ind w:left="420"/>
      </w:pPr>
      <w:r>
        <w:t xml:space="preserve">2. bedeutsame Schutzgüter der öffentlichen Sicherheit, insbesondere kritische Infrastrukturen,</w:t>
      </w:r>
    </w:p>
    <w:p>
      <w:pPr>
        <w:ind w:left="420"/>
      </w:pPr>
      <w:r>
        <w:t xml:space="preserve">3. die Vertraulichkeit der Beratungen von Behörden und natürlichen oder juristischen Personen des Privatrechts, soweit sie öffentliche Aufgaben wahrnehmen, oder</w:t>
      </w:r>
    </w:p>
    <w:p>
      <w:pPr>
        <w:ind w:left="420"/>
      </w:pPr>
      <w:r>
        <w:t xml:space="preserve">4. die Durchführung eines laufenden Gerichtsverfahrens, den Anspruch einer Person auf ein faires Verfahren oder die Durchführung strafrechtlicher, ordnungswidrigkeitenrechtlicher oder disziplinarrechtlicher Ermittlungen.</w:t>
      </w:r>
    </w:p>
    <w:p>
      <w:r>
        <w:t xml:space="preserve">Geologische Daten dürfen entgegen Satz 1 öffentlich bereitgestellt werden, wenn das öffentliche Interesse an der öffentlichen Bereitstellung die nachteiligen Auswirkungen überwiegt. Die Entscheidung, ob und inwieweit die öffentliche Bereitstellung der geologischen Daten nachteilige Auswirkungen gemäß Satz 1 hat oder ob nach Satz 2 das öffentliche Interesse an der Bereitstellung überwiegt, trifft die zuständige Behörde im Benehmen mit derjenigen Behörde oder Person nach § 3 Absatz 4 Satz 1 Nummer 2, deren Aufgabenbereich durch die geologischen Daten nach den Sätzen 1 und 2 betroffen ist.</w:t>
      </w:r>
    </w:p>
    <w:p>
      <w:r>
        <w:rPr>
          <w:color w:val="555555"/>
          <w:sz w:val="17"/>
        </w:rPr>
        <w:t xml:space="preserve">Zitiervorschlag: § 31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