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30 GeolDG — Einwilligung des Dateninhabers</w:t>
      </w:r>
    </w:p>
    <w:p>
      <w:r>
        <w:rPr>
          <w:color w:val="555555"/>
          <w:sz w:val="18"/>
        </w:rPr>
        <w:t xml:space="preserve">Geologiedatengesetz</w:t>
      </w:r>
    </w:p>
    <w:p>
      <w:r>
        <w:rPr>
          <w:color w:val="555555"/>
          <w:sz w:val="18"/>
        </w:rPr>
        <w:t xml:space="preserve">Stand: 30.06.2020 (konsolidierte Textfassung, kein amtliches Inkrafttretensdatum)</w:t>
      </w:r>
    </w:p>
    <w:p>
      <w:r>
        <w:t xml:space="preserve">Soweit eine nach § 14 Satz 1 verpflichtete Person in die öffentliche Bereitstellung der von ihr übermittelten nichtstaatlichen geologischen Daten eingewilligt hat, ist § 24 entsprechend anzuwenden.</w:t>
      </w:r>
    </w:p>
    <w:p>
      <w:r>
        <w:rPr>
          <w:color w:val="555555"/>
          <w:sz w:val="17"/>
        </w:rPr>
        <w:t xml:space="preserve">Zitiervorschlag: § 30 GeolDG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https://recht.nulegal.eu/gesetze/GeolDG/30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