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GeolDG — Öffentliche Bereitstellung nichtstaatlicher Fachdaten nach § 9</w:t>
      </w:r>
    </w:p>
    <w:p>
      <w:r>
        <w:rPr>
          <w:color w:val="555555"/>
          <w:sz w:val="18"/>
        </w:rPr>
        <w:t xml:space="preserve">Geologiedatengesetz</w:t>
      </w:r>
    </w:p>
    <w:p>
      <w:r>
        <w:rPr>
          <w:color w:val="555555"/>
          <w:sz w:val="18"/>
        </w:rPr>
        <w:t xml:space="preserve">Stand: 30.06.2020 (konsolidierte Textfassung, kein amtliches Inkrafttretensdatum)</w:t>
      </w:r>
    </w:p>
    <w:p>
      <w:r>
        <w:t xml:space="preserve">(1) Nichtstaatliche Fachdaten, die der zuständigen Behörde nach § 9 Absatz 1 Satz 1 übermittelt worden sind, werden nach Ablauf von fünf Jahren nach Ablauf der Übermittlungsfrist öffentlich bereitgestellt, es sei denn, sie dienen wie die Daten des § 9 Absatz 1 Satz 1 Nummer 1 lediglich der Aktualisierung der Nachweisdaten.</w:t>
      </w:r>
    </w:p>
    <w:p>
      <w:r>
        <w:t xml:space="preserve">(2) Nichtstaatliche Fachdaten, die der zuständigen Behörde nach § 9 Absatz 1 Satz 1 zum Zweck einer gewerblichen Tätigkeit auf Grund einer Bergbauberechtigung oder auf Grund eines anderweitig genehmigten oder anzeigepflichtigen Vorhabens für die Untersuchung des geologischen Untergrunds, die Gewinnung von Bodenschätzen oder die Nutzung des geologischen Untergrunds übermittelt worden sind, werden abweichend von Absatz 1 nach Ablauf von zehn Jahren nach Ablauf der Übermittlungsfrist öffentlich bereitgestellt.</w:t>
      </w:r>
    </w:p>
    <w:p>
      <w:r>
        <w:t xml:space="preserve">(3) Nichtstaatlich gewonnene Bohrkerne sowie nichtstaatlich gewonnene Bohr-, Gesteins- und Bodenproben werden entsprechend Absatz 1 oder Absatz 2 nach § 19 Absatz 2 öffentlich bereitgestellt; die öffentliche Bereitstellung beschränkt sich auf die Möglichkeit der Einsichtnahme. Sind die Voraussetzungen des § 34 Absatz 2 erfüllt und gestattet es die Beschaffenheit von Bohrkernen und Bohr-, Gesteins- und Bodenproben, so kann eine beständige Form der Kenntnisnahme ermöglicht werden.</w:t>
      </w:r>
    </w:p>
    <w:p>
      <w:r>
        <w:rPr>
          <w:color w:val="555555"/>
          <w:sz w:val="17"/>
        </w:rPr>
        <w:t xml:space="preserve">Zitiervorschlag: § 27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