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GeolDG — Öffentliche Bereitstellung übermittelter staatlicher geologischer Daten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Nachweisdaten einer anderen Behörde als der zuständigen Behörde oder einer Person nach § 3 Absatz 4 Satz 1 Nummer 2 werden spätestens drei Monate nach Ablauf der Anzeige- und Übermittlungsfrist nach § 8 öffentlich bereitgestellt. Die zuständige Behörde aktualisiert die Nachweisdaten anhand der nach § 9 Absatz 1 Satz 1 übermittelten Fachdaten. Der Name und die Anschrift natürlicher Personen werden nicht öffentlich bereitgestellt, es sei denn, sie sind gleichlautend mit dem Namen oder der Anschrift einer anzeigenden Firma.</w:t>
      </w:r>
    </w:p>
    <w:p>
      <w:r>
        <w:t xml:space="preserve">(2) Fach- und Bewertungsdaten, die eine andere Behörde als die zuständige Behörde oder eine Person nach § 3 Absatz 4 Satz 1 Nummer 2 gewonnen hat, werden spätestens sechs Monate nach Ablauf der Übermittlungsfrist nach § 9 Absatz 1 Satz 1 und § 10 Absatz 1 und 2 Satz 2 öffentlich bereitgestellt.</w:t>
      </w:r>
    </w:p>
    <w:p>
      <w:r>
        <w:rPr>
          <w:color w:val="555555"/>
          <w:sz w:val="17"/>
        </w:rPr>
        <w:t xml:space="preserve">Zitiervorschlag: § 24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