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GeolDG — Kennzeichnung von Daten</w:t>
      </w:r>
    </w:p>
    <w:p>
      <w:r>
        <w:rPr>
          <w:color w:val="555555"/>
          <w:sz w:val="18"/>
        </w:rPr>
        <w:t xml:space="preserve">Geologiedatengesetz</w:t>
      </w:r>
    </w:p>
    <w:p>
      <w:r>
        <w:rPr>
          <w:color w:val="555555"/>
          <w:sz w:val="18"/>
        </w:rPr>
        <w:t xml:space="preserve">Stand: 30.06.2020 (konsolidierte Textfassung, kein amtliches Inkrafttretensdatum)</w:t>
      </w:r>
    </w:p>
    <w:p>
      <w:r>
        <w:t xml:space="preserve">(1) Die nach § 14 Satz 1 verpflichteten Personen kennzeichnen die zu übermittelnden geologischen Daten als</w:t>
      </w:r>
    </w:p>
    <w:p>
      <w:pPr>
        <w:ind w:left="420"/>
      </w:pPr>
      <w:r>
        <w:t xml:space="preserve">1. Nachweisdaten nach § 8,</w:t>
      </w:r>
    </w:p>
    <w:p>
      <w:pPr>
        <w:ind w:left="420"/>
      </w:pPr>
      <w:r>
        <w:t xml:space="preserve">2. Fachdaten nach § 9 oder</w:t>
      </w:r>
    </w:p>
    <w:p>
      <w:pPr>
        <w:ind w:left="420"/>
      </w:pPr>
      <w:r>
        <w:t xml:space="preserve">3. Bewertungsdaten nach § 10.</w:t>
      </w:r>
    </w:p>
    <w:p>
      <w:r>
        <w:t xml:space="preserve">(2) Die nach § 14 Satz 1 verpflichteten Personen geben an,</w:t>
      </w:r>
    </w:p>
    <w:p>
      <w:pPr>
        <w:ind w:left="420"/>
      </w:pPr>
      <w:r>
        <w:t xml:space="preserve">1. ob Fachdaten zum Zweck einer gewerblichen Tätigkeit gewonnen wurden und</w:t>
      </w:r>
    </w:p>
    <w:p>
      <w:pPr>
        <w:ind w:left="420"/>
      </w:pPr>
      <w:r>
        <w:t xml:space="preserve">2. ob und für welchen Zeitraum Beschränkungen für die öffentliche Bereitstellung nach den §§ 31 und 32 sowie nach spezialgesetzlichen Veröffentlichungsvorschriften bestehen könnten.</w:t>
      </w:r>
    </w:p>
    <w:p>
      <w:r>
        <w:t xml:space="preserve">(3) Die zuständige Behörde setzt die Datenkategorie fest und berücksichtigt dabei die Kennzeichnung und die Angaben nach den Absätzen 1 und 2. Die Festsetzung ist ein Verwaltungsakt. Die zuständige Behörde gibt die Festsetzungen der Datenkategorien in regelmäßigen Abständen öffentlich bekannt. Sie veröffentlicht die Bekanntgabe im Internet sowie nach Möglichkeit in den nach § 6 Absatz 1 des Geodatenzugangsgesetzes vorgeschriebenen Geodatendiensten. Zusätzlich zu der öffentlichen Bekanntgabe nach Satz 4 kann die zuständige Behörde die Festsetzung denjenigen Personen, die die Daten übermittelt haben, oder deren Rechtsnachfolgern schriftlich oder elektronisch bekannt geben.</w:t>
      </w:r>
    </w:p>
    <w:p>
      <w:r>
        <w:rPr>
          <w:color w:val="555555"/>
          <w:sz w:val="17"/>
        </w:rPr>
        <w:t xml:space="preserve">Zitiervorschlag: § 17 GeolDG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https://recht.nulegal.eu/gesetze/GeolDG/17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