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GeolDG — Datenformat</w:t>
      </w:r>
    </w:p>
    <w:p>
      <w:r>
        <w:rPr>
          <w:color w:val="555555"/>
          <w:sz w:val="18"/>
        </w:rPr>
        <w:t xml:space="preserve">Geologiedatengesetz</w:t>
      </w:r>
    </w:p>
    <w:p>
      <w:r>
        <w:rPr>
          <w:color w:val="555555"/>
          <w:sz w:val="18"/>
        </w:rPr>
        <w:t xml:space="preserve">Stand: 30.06.2020 (konsolidierte Textfassung, kein amtliches Inkrafttretensdatum)</w:t>
      </w:r>
    </w:p>
    <w:p>
      <w:r>
        <w:t xml:space="preserve">(1) In den Fällen der §§ 8 bis 10 sind die Daten der zuständigen Behörde, soweit möglich und gegebenenfalls in Absprache mit der zuständigen Behörde, in einem von ihr benannten interoperablen Format elektronisch zu übermitteln. Unbeschadet des Satzes 1 sind für die Interoperabilität raumbezogener Daten die Durchführungsbestimmungen nach Artikel 5 Absatz 4, Artikel 7 Absatz 1 und Artikel 16 der Richtlinie 2007/2/EG zu beachten.</w:t>
      </w:r>
    </w:p>
    <w:p>
      <w:r>
        <w:t xml:space="preserve">(2) Im Fall des § 12 sind die Daten der zuständigen Behörde, soweit möglich, elektronisch zu übermitteln.</w:t>
      </w:r>
    </w:p>
    <w:p>
      <w:r>
        <w:t xml:space="preserve">(3) Für die Übermittlung des Namens und der Anschrift einer anzeigenden natürlichen Person sowie deren Auftraggeber nach § 8 Satz 2 Nummer 1 sind die Anforderungen an die Sicherheit der Datenverarbeitung gemäß den Artikeln 32 bis 34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zu beachten.</w:t>
      </w:r>
    </w:p>
    <w:p>
      <w:r>
        <w:rPr>
          <w:color w:val="555555"/>
          <w:sz w:val="17"/>
        </w:rPr>
        <w:t xml:space="preserve">Zitiervorschlag: § 16 GeolDG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https://recht.nulegal.eu/gesetze/GeolDG/16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