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GeolDG — Anzeige- und übermittlungsverpflichtete Personen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Zur Anzeige geologischer Untersuchungen nach § 8 Satz 1, zur Übermittlung der Nachweisdaten nach § 8 Satz 2 und der Fachdaten nach § 9 Absatz 1 Satz 1, zur Kennzeichnung von Bohrkernen und Proben nach § 9 Absatz 1 Satz 2, zur Gewährung des Zugangs zu Bohrkernen und Bohr-, Gesteins- und Bodenproben nach § 9 Absatz 1 Satz 3, zur Übermittlung von Bewertungsdaten nach § 10 Absatz 1 sowie zur Übermittlung von Bewertungsdaten auf Grund von § 10 Absatz 2 und von geologischen Fachdaten auf Grund von § 12 ist verpflichtet:</w:t>
      </w:r>
    </w:p>
    <w:p>
      <w:pPr>
        <w:ind w:left="420"/>
      </w:pPr>
      <w:r>
        <w:t xml:space="preserve">1. wer selbst oder als Beauftragter eine geologische Untersuchung vornimmt,</w:t>
      </w:r>
    </w:p>
    <w:p>
      <w:pPr>
        <w:ind w:left="420"/>
      </w:pPr>
      <w:r>
        <w:t xml:space="preserve">2. der Auftraggeber einer geologischen Untersuchung,</w:t>
      </w:r>
    </w:p>
    <w:p>
      <w:pPr>
        <w:ind w:left="420"/>
      </w:pPr>
      <w:r>
        <w:t xml:space="preserve">3. der Rechtsnachfolger einer nach Nummer 1 oder Nummer 2 verpflichteten Person oder</w:t>
      </w:r>
    </w:p>
    <w:p>
      <w:pPr>
        <w:ind w:left="420"/>
      </w:pPr>
      <w:r>
        <w:t xml:space="preserve">4. im Fall einer nachträglichen Übermittlung von nichtstaatlichen geologischen Fachdaten gemäß § 12: wer zum Zeitpunkt der Übermittlungsforderung Inhaber der geologischen Daten ist.</w:t>
      </w:r>
    </w:p>
    <w:p>
      <w:r>
        <w:t xml:space="preserve">Die Anzeige oder Übermittlung der Daten durch einen Mitverpflichteten befreit die übrigen Verpflichteten von der Anzeigepflicht oder der Übermittlungspflicht. Der Rechtsnachfolger einer nach Satz 1 Nummer 1 und 2 anzeige- und übermittlungspflichtigen Person haftet nicht für die Verstöße gegen dieses Gesetz durch den Rechtsvorgänger.</w:t>
      </w:r>
    </w:p>
    <w:p>
      <w:r>
        <w:rPr>
          <w:color w:val="555555"/>
          <w:sz w:val="17"/>
        </w:rPr>
        <w:t xml:space="preserve">Zitiervorschlag: § 14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