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GeoitPO (Bayern) — Geschäftsführung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Geschäftsführung des Prüfungsausschusses liegt in Abstimmung mit dem Prüfungsausschuss bei der zuständigen Stelle.</w:t>
      </w:r>
    </w:p>
    <w:p>
      <w:r>
        <w:t xml:space="preserve">(2) Die Sitzungsprotokolle sind von der protokollführenden Person und dem Vorsitz zu unterzeichnen. § 16 Abs. 1 bleibt unberührt.</w:t>
      </w:r>
    </w:p>
    <w:p>
      <w:r>
        <w:rPr>
          <w:color w:val="555555"/>
          <w:sz w:val="17"/>
        </w:rPr>
        <w:t xml:space="preserve">Zitiervorschlag: § 2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