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GeoZG — Inkrafttreten</w:t>
      </w:r>
    </w:p>
    <w:p>
      <w:r>
        <w:rPr>
          <w:color w:val="555555"/>
          <w:sz w:val="18"/>
        </w:rPr>
        <w:t xml:space="preserve">Geodatenzugangsgesetz</w:t>
      </w:r>
    </w:p>
    <w:p>
      <w:r>
        <w:rPr>
          <w:color w:val="555555"/>
          <w:sz w:val="18"/>
        </w:rPr>
        <w:t xml:space="preserve">Stand: 05.03.2021 (konsolidierte Textfassung, kein amtliches Inkrafttretensdatum)</w:t>
      </w:r>
    </w:p>
    <w:p>
      <w:r>
        <w:t xml:space="preserve">Dieses Gesetz tritt am Tage nach der Verkündung in Kraft.</w:t>
      </w:r>
    </w:p>
    <w:p>
      <w:r>
        <w:rPr>
          <w:color w:val="555555"/>
          <w:sz w:val="17"/>
        </w:rPr>
        <w:t xml:space="preserve">Zitiervorschlag: § 16 GeoZG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https://recht.nulegal.eu/gesetze/GeoZG/16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