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GeoZG — Verordnungsermächtigung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Die Bundesregierung wird ermächtigt, durch Rechtsverordnung, die nicht der Zustimmung des Bundesrates bedarf,</w:t>
      </w:r>
    </w:p>
    <w:p>
      <w:pPr>
        <w:ind w:left="420"/>
      </w:pPr>
      <w:r>
        <w:t xml:space="preserve">1. die Verpflichtungen aus den Durchführungsbestimmungen nach Artikel 5 Absatz 4, Artikel 7 Absatz 1, Artikel 16, 17 Absatz 8 sowie Artikel 21 Absatz 4 der Richtlinie 2007/2/EG zu erfüllen, soweit diese den Anwendungsbereich dieses Gesetzes betreffen,</w:t>
      </w:r>
    </w:p>
    <w:p>
      <w:pPr>
        <w:ind w:left="420"/>
      </w:pPr>
      <w:r>
        <w:t xml:space="preserve">2. die Nutzungsbedingungen nach § 11 Absatz 3, insbesondere zu den Nutzungsrechten, zur Gewährleistung und zum Haftungsausschluss, festzulegen und</w:t>
      </w:r>
    </w:p>
    <w:p>
      <w:pPr>
        <w:ind w:left="420"/>
      </w:pPr>
      <w:r>
        <w:t xml:space="preserve">3. die Aufgaben nach § 13 Absatz 1 bis 3 abweichend von § 13 Absatz 1 auf andere Stellen der öffentlichen Verwaltung zu übertragen.</w:t>
      </w:r>
    </w:p>
    <w:p>
      <w:r>
        <w:rPr>
          <w:color w:val="555555"/>
          <w:sz w:val="17"/>
        </w:rPr>
        <w:t xml:space="preserve">Zitiervorschlag: § 15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