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GeoZG — Nationale Anlaufstelle</w:t>
      </w:r>
    </w:p>
    <w:p>
      <w:r>
        <w:rPr>
          <w:color w:val="555555"/>
          <w:sz w:val="18"/>
        </w:rPr>
        <w:t xml:space="preserve">Geodatenzugangsgesetz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Organisation der nationalen Geodateninfrastruktur erfolgt in der Verantwortung eines nationalen Lenkungsgremiums des Bundes und der Länder.</w:t>
      </w:r>
    </w:p>
    <w:p>
      <w:r>
        <w:t xml:space="preserve">(2) Das nationale Lenkungsgremium nimmt die Aufgaben der nationalen Anlaufstelle im Sinne des Artikels 19 Absatz 2 der Richtlinie 2007/2/EG wahr.</w:t>
      </w:r>
    </w:p>
    <w:p>
      <w:r>
        <w:t xml:space="preserve">(3) Die Einzelheiten regeln Bund und Länder in einer Verwaltungsvereinbarung.</w:t>
      </w:r>
    </w:p>
    <w:p>
      <w:r>
        <w:rPr>
          <w:color w:val="555555"/>
          <w:sz w:val="17"/>
        </w:rPr>
        <w:t xml:space="preserve">Zitiervorschlag: § 10 GeoZG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https://recht.nulegal.eu/gesetze/GeoZG/10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