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GeoZG — Ziel des Gesetzes</w:t>
      </w:r>
    </w:p>
    <w:p>
      <w:r>
        <w:rPr>
          <w:color w:val="555555"/>
          <w:sz w:val="18"/>
        </w:rPr>
        <w:t xml:space="preserve">Geodatenzugangsgesetz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dient dem Aufbau einer nationalen Geodateninfrastruktur. Es schafft den rechtlichen Rahmen für</w:t>
      </w:r>
    </w:p>
    <w:p>
      <w:pPr>
        <w:ind w:left="420"/>
      </w:pPr>
      <w:r>
        <w:t xml:space="preserve">1. den Zugang zu Geodaten, Geodatendiensten und Metadaten von geodatenhaltenden Stellen sowie</w:t>
      </w:r>
    </w:p>
    <w:p>
      <w:pPr>
        <w:ind w:left="420"/>
      </w:pPr>
      <w:r>
        <w:t xml:space="preserve">2. die Nutzung dieser Daten und Dienste, insbesondere für Maßnahmen, die Auswirkungen auf die Umwelt haben können.</w:t>
      </w:r>
    </w:p>
    <w:p>
      <w:r>
        <w:rPr>
          <w:color w:val="555555"/>
          <w:sz w:val="17"/>
        </w:rPr>
        <w:t xml:space="preserve">Zitiervorschlag: § 1 GeoZG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https://recht.nulegal.eu/gesetze/GeoZG/1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