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GeoNutzV</w:t>
      </w:r>
    </w:p>
    <w:p>
      <w:r>
        <w:rPr>
          <w:color w:val="555555"/>
          <w:sz w:val="18"/>
        </w:rPr>
        <w:t xml:space="preserve">Verordnung zur Festlegung der Nutzungsbestimmungen für die Bereitstellung von Geodaten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 Nummer 2 in Verbindung mit § 11 Absatz 3 des Geodatenzugangsgesetzes, von denen § 14 Nummer 2 durch Artikel 1 Nummer 4 und § 11 Absatz 3 durch Artikel 1 Nummer 2 des Gesetzes vom 7. November 2012 (BGBl. I S. 2289) neu gefasst worden ist, verordnet die Bundesregierung:</w:t>
      </w:r>
    </w:p>
    <w:p>
      <w:r>
        <w:rPr>
          <w:color w:val="555555"/>
          <w:sz w:val="17"/>
        </w:rPr>
        <w:t xml:space="preserve">Zitiervorschlag: Eingangsformel GeoNutzV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https://recht.nulegal.eu/gesetze/GeoNutzV/eingangsformel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