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GeoNutzV — Ziel und Anwendungsbereich</w:t>
      </w:r>
    </w:p>
    <w:p>
      <w:r>
        <w:rPr>
          <w:color w:val="555555"/>
          <w:sz w:val="18"/>
        </w:rPr>
        <w:t xml:space="preserve">Verordnung zur Festlegung der Nutzungsbestimmungen für die Bereitstellung von Geodaten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regelt die Voraussetzungen, unter denen Geodaten und Geodatendienste, einschließlich zugehöriger Metadaten, nach § 11 Absatz 1 und 2 des Geodatenzugangsgesetzes von den geodatenhaltenden Stellen nach § 2 Absatz 1 in Verbindung mit § 3 Absatz 8 des Geodatenzugangsgesetzes zur Verfügung gestellt werden.</w:t>
      </w:r>
    </w:p>
    <w:p>
      <w:r>
        <w:rPr>
          <w:color w:val="555555"/>
          <w:sz w:val="17"/>
        </w:rPr>
        <w:t xml:space="preserve">Zitiervorschlag: § 1 GeoNutzV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https://recht.nulegal.eu/gesetze/GeoNutzV/1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