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GeoITAusbV — Inkrafttreten, Außerkrafttreten</w:t>
      </w:r>
    </w:p>
    <w:p>
      <w:r>
        <w:rPr>
          <w:color w:val="555555"/>
          <w:sz w:val="18"/>
        </w:rPr>
        <w:t xml:space="preserve">Verordnung über die Berufsausbildung in der Geoinformationstechnologie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2010 in Kraft. Gleichzeitig treten die Verordnung über die Berufsausbildung zum Kartographen/zur Kartographin vom 4. März 1997 (BGBl. I S. 536), die Verordnung über die Berufsausbildung zum Vermessungstechniker/zur Vermessungstechnikerin vom 17. Dezember 1994 (BGBl. I S. 3889) und die Bergvermessungstechniker-Ausbildungsverordnung vom 28. Januar 1993 (BGBl. I S. 137) außer Kraft.</w:t>
      </w:r>
    </w:p>
    <w:p>
      <w:r>
        <w:rPr>
          <w:color w:val="555555"/>
          <w:sz w:val="17"/>
        </w:rPr>
        <w:t xml:space="preserve">Zitiervorschlag: § 17 GeoITAusbV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