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GeoEnBeschrV — Öffentliche Bekanntmachung</w:t>
      </w:r>
    </w:p>
    <w:p>
      <w:r>
        <w:rPr>
          <w:color w:val="555555"/>
          <w:sz w:val="18"/>
        </w:rPr>
        <w:t xml:space="preserve">Verordnung zur Beschränkung des marinen Geo-Engineerings</w:t>
      </w:r>
    </w:p>
    <w:p>
      <w:r>
        <w:rPr>
          <w:color w:val="555555"/>
          <w:sz w:val="18"/>
        </w:rPr>
        <w:t xml:space="preserve">Stand: 08.11.2019 (konsolidierte Textfassung, kein amtliches Inkrafttretensdatum)</w:t>
      </w:r>
    </w:p>
    <w:p>
      <w:r>
        <w:t xml:space="preserve">Die Entscheidung über die Erlaubniserteilung sowie die Gründe für die Entscheidung sind von der zuständigen Behörde öffentlich bekannt zu machen.</w:t>
      </w:r>
    </w:p>
    <w:p>
      <w:r>
        <w:rPr>
          <w:color w:val="555555"/>
          <w:sz w:val="17"/>
        </w:rPr>
        <w:t xml:space="preserve">Zitiervorschlag: § 8 GeoEnBeschrV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https://recht.nulegal.eu/gesetze/GeoEnBeschrV/8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