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GeoEnBeschrV — Anwendungsbereich</w:t>
      </w:r>
    </w:p>
    <w:p>
      <w:r>
        <w:rPr>
          <w:color w:val="555555"/>
          <w:sz w:val="18"/>
        </w:rPr>
        <w:t xml:space="preserve">Verordnung zur Beschränkung des marinen Geo-Engineerings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Diese Verordnung regelt das Verfahren zur Erteilung von Erlaubnissen nach § 5 Absatz 1 des Hohe-See-Einbringungsgesetzes für das Einbringen von Stoffen und Gegenständen im Rahmen des marinen Geo-Engineerings sowie das Verfahren der frühen Öffentlichkeitsbeteiligung vor Erteilung der Erlaubnisse.</w:t>
      </w:r>
    </w:p>
    <w:p>
      <w:r>
        <w:rPr>
          <w:color w:val="555555"/>
          <w:sz w:val="17"/>
        </w:rPr>
        <w:t xml:space="preserve">Zitiervorschlag: § 1 GeoEnBeschrV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https://recht.nulegal.eu/gesetze/GeoEnBeschrV/1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