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GeoBG — Überragendes öffentliches Interesse</w:t>
      </w:r>
    </w:p>
    <w:p>
      <w:r>
        <w:rPr>
          <w:color w:val="555555"/>
          <w:sz w:val="18"/>
        </w:rPr>
        <w:t xml:space="preserve">Geothermie-Beschleunigungsgesetz</w:t>
      </w:r>
    </w:p>
    <w:p>
      <w:r>
        <w:rPr>
          <w:color w:val="555555"/>
          <w:sz w:val="18"/>
        </w:rPr>
        <w:t xml:space="preserve">Stand: 23.12.2025 (konsolidierte Textfassung, kein amtliches Inkrafttretensdatum)</w:t>
      </w:r>
    </w:p>
    <w:p>
      <w:r>
        <w:t xml:space="preserve">Die Errichtung oder der Betrieb einer Anlage nach § 2 liegen bis zum Erreichen der Netto-Treibhausgasneutralität im Jahr 2045 im überragenden öffentlichen Interesse und dienen der öffentlichen Gesundheit und Sicherheit. Sie sollen als vorrangiger Belang in die jeweils durchzuführenden Schutzgüterabwägungen eingebracht werden. Satz 1 ist in den jeweils durchzuführenden Schutzgüterabwägungen gegenüber den Belangen der Landes- und Bündnisverteidigung nicht anzuwenden.</w:t>
      </w:r>
    </w:p>
    <w:p>
      <w:r>
        <w:rPr>
          <w:color w:val="555555"/>
          <w:sz w:val="17"/>
        </w:rPr>
        <w:t xml:space="preserve">Zitiervorschlag: § 4 GeoBG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https://recht.nulegal.eu/gesetze/GeoBG/4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