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GeoBG — Anwendungsbereich</w:t>
      </w:r>
    </w:p>
    <w:p>
      <w:r>
        <w:rPr>
          <w:color w:val="555555"/>
          <w:sz w:val="18"/>
        </w:rPr>
        <w:t xml:space="preserve">Geothermie-Beschleunigungsgesetz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Dieses Gesetz ist anzuwenden auf die Zulassung der Errichtung, des Betriebs oder der Änderung folgender Anlagen und Leitungen, einschließlich der jeweils dazugehörigen Nebenanlagen, seismischen Explorationen und Bohrungen:</w:t>
      </w:r>
    </w:p>
    <w:p>
      <w:pPr>
        <w:ind w:left="420"/>
      </w:pPr>
      <w:r>
        <w:t xml:space="preserve">1. einer Anlage zur Aufsuchung oder Gewinnung von Tiefengeothermie,</w:t>
      </w:r>
    </w:p>
    <w:p>
      <w:pPr>
        <w:ind w:left="420"/>
      </w:pPr>
      <w:r>
        <w:t xml:space="preserve">2. einer Anlage zur Aufsuchung oder Gewinnung von oberflächennaher Geothermie,</w:t>
      </w:r>
    </w:p>
    <w:p>
      <w:pPr>
        <w:ind w:left="420"/>
      </w:pPr>
      <w:r>
        <w:t xml:space="preserve">3. einer Wärmepumpe,</w:t>
      </w:r>
    </w:p>
    <w:p>
      <w:pPr>
        <w:ind w:left="420"/>
      </w:pPr>
      <w:r>
        <w:t xml:space="preserve">4. eines Wärmespeichers,</w:t>
      </w:r>
    </w:p>
    <w:p>
      <w:pPr>
        <w:ind w:left="420"/>
      </w:pPr>
      <w:r>
        <w:t xml:space="preserve">5. einer Wärmeleitung.</w:t>
      </w:r>
    </w:p>
    <w:p>
      <w:r>
        <w:rPr>
          <w:color w:val="555555"/>
          <w:sz w:val="17"/>
        </w:rPr>
        <w:t xml:space="preserve">Zitiervorschlag: § 2 GeoBG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