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GeoBG — Sachliche Zuständigkeit der Oberverwaltungsgerichte</w:t>
      </w:r>
    </w:p>
    <w:p>
      <w:r>
        <w:rPr>
          <w:color w:val="555555"/>
          <w:sz w:val="18"/>
        </w:rPr>
        <w:t xml:space="preserve">Geothermie-Beschleunigungsgesetz</w:t>
      </w:r>
    </w:p>
    <w:p>
      <w:r>
        <w:rPr>
          <w:color w:val="555555"/>
          <w:sz w:val="18"/>
        </w:rPr>
        <w:t xml:space="preserve">Stand: 23.12.2025 (konsolidierte Textfassung, kein amtliches Inkrafttretensdatum)</w:t>
      </w:r>
    </w:p>
    <w:p>
      <w:r>
        <w:t xml:space="preserve">(1) Das Oberverwaltungsgericht entscheidet im ersten Rechtszug über sämtliche Streitigkeiten über die Errichtung, den Betrieb und die Änderung</w:t>
      </w:r>
    </w:p>
    <w:p>
      <w:pPr>
        <w:ind w:left="420"/>
      </w:pPr>
      <w:r>
        <w:t xml:space="preserve">1. einer Anlage nach § 2 Nummer 1,</w:t>
      </w:r>
    </w:p>
    <w:p>
      <w:pPr>
        <w:ind w:left="420"/>
      </w:pPr>
      <w:r>
        <w:t xml:space="preserve">2. einer Anlage nach § 2 Nummer 3 mit einer thermischen Leistung von mindestens 500 Kilowatt sowie</w:t>
      </w:r>
    </w:p>
    <w:p>
      <w:pPr>
        <w:ind w:left="420"/>
      </w:pPr>
      <w:r>
        <w:t xml:space="preserve">3. einer Leitung nach § 2 Nummer 5.</w:t>
      </w:r>
    </w:p>
    <w:p>
      <w:r>
        <w:t xml:space="preserve">(2) Absatz 1 ist auch anzuwenden auf Streitigkeiten über die Zulassung des vorzeitigen Beginns, die sich auf die Anlagen nach Absatz 1 beziehen sowie auf Streitigkeiten über den Anschluss dieser Anlagen an ein Wärmenetz.</w:t>
      </w:r>
    </w:p>
    <w:p>
      <w:r>
        <w:rPr>
          <w:color w:val="555555"/>
          <w:sz w:val="17"/>
        </w:rPr>
        <w:t xml:space="preserve">Zitiervorschlag: § 10 GeoBG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https://recht.nulegal.eu/gesetze/GeoBG/10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