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GenehmFV (Brandenburg) — Erklärung der Genehmigungsfreiheit</w:t>
      </w:r>
    </w:p>
    <w:p>
      <w:r>
        <w:rPr>
          <w:color w:val="555555"/>
          <w:sz w:val="18"/>
        </w:rPr>
        <w:t xml:space="preserve">Genehmigungsfreistellungsverordnung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Bei der</w:t>
      </w:r>
    </w:p>
    <w:p>
      <w:r>
        <w:t xml:space="preserve">genehmigungsfreien Veräußerung von Grundstücken und grundstücksgleichen Rechten sowie</w:t>
      </w:r>
    </w:p>
    <w:p>
      <w:r>
        <w:t xml:space="preserve">Bestellung beziehungsweise der Ermächtigung zur Bestellung eines Grundpfandrechtes gemäß § 7</w:t>
      </w:r>
    </w:p>
    <w:p>
      <w:r>
        <w:t xml:space="preserve">ist dem jeweiligen Antrag auf Eintragung in das Grundbuch eine in der Form des § 29 Absatz 3 der Grundbuchordnung ausgestellte separate Erklärung der veräußernden Gemeinde beizufügen, dass der Abschluss des Rechtsgeschäftes genehmigungsfrei ist. In der Erklärung ist auf die in Betracht kommende Vorschrift ausdrücklich Bezug zu nehmen.</w:t>
      </w:r>
    </w:p>
    <w:p>
      <w:r>
        <w:rPr>
          <w:color w:val="555555"/>
          <w:sz w:val="17"/>
        </w:rPr>
        <w:t xml:space="preserve">Zitiervorschlag: § 8 GenehmFV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https://recht.nulegal.eu/gesetze/GenehmFV/8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