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GenehmFV (Brandenburg) — Gesetzlich geregelte Verfahren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Genehmigung ist nicht erforderlich</w:t>
      </w:r>
    </w:p>
    <w:p>
      <w:r>
        <w:t xml:space="preserve">bei der Erfüllung gesetzlicher Veräußerungspflichten, insbesondere bei Veräußerung von Grundstücken im Rahmen von städtebaulichen Sanierungs- und Entwicklungsmaßnahmen nach dem Baugesetzbuch und bei Enteignung nach dem Baugesetzbuch oder nach dem Enteignungsgesetz des Landes Brandenburg,</w:t>
      </w:r>
    </w:p>
    <w:p>
      <w:r>
        <w:t xml:space="preserve">innerhalb eines Verfahrens der Bodenordnung (Verfahren nach dem Baugesetzbuch, dem Flurbereinigungsgesetz, dem Landwirtschaftsanpassungsgesetz oder dem Bodensonderungsgesetz) oder</w:t>
      </w:r>
    </w:p>
    <w:p>
      <w:r>
        <w:t xml:space="preserve">bei der Übertragung in das Treuhandvermögen eines von der Gemeinde beauftragten Sanierungs- oder Entwicklungsträgers, der die Anforderungen des Baugesetzbuches erfüllt,</w:t>
      </w:r>
    </w:p>
    <w:p>
      <w:r>
        <w:t xml:space="preserve">wenn dabei keine Veräußerung unter den gesetzlich vorgesehenen Werten erfolgt.</w:t>
      </w:r>
    </w:p>
    <w:p>
      <w:r>
        <w:rPr>
          <w:color w:val="555555"/>
          <w:sz w:val="17"/>
        </w:rPr>
        <w:t xml:space="preserve">Zitiervorschlag: § 4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