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GenehmFV (Brandenburg) — Allgemeine Regelung</w:t>
      </w:r>
    </w:p>
    <w:p>
      <w:r>
        <w:rPr>
          <w:color w:val="555555"/>
          <w:sz w:val="18"/>
        </w:rPr>
        <w:t xml:space="preserve">Genehmigungsfreistellungsverordnung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Veräußerung von Grundstücken, grundstücksgleichen Rechten, Unternehmen und Beteiligungen ist von der Genehmigungspflicht gemäß § 87 Absatz 3 der Brandenburgischen Kommunalverfassung freigestellt, wenn die Voraussetzungen der §§ 2, 3, 4 oder des § 5 erfüllt sind.</w:t>
      </w:r>
    </w:p>
    <w:p>
      <w:r>
        <w:t xml:space="preserve">(2) Die Veräußerung von anderen als den in Absatz 1 genannten Vermögensgegenständen der Gemeinden unter ihrem vollen Wert ist von der Genehmigungspflicht gemäß § 87 Absatz 3 der Brandenburgischen Kommunalverfassung freigestellt, sofern es sich nicht um eine unentgeltliche Veräußerung handelt oder ein Preis vereinbart ist, der einer unentgeltlichen Veräußerung gleichkommt. Die Veräußerung nach Satz 1 ist auch dann von der Genehmigungspflicht freigestellt, wenn die Voraussetzungen der §§ 4, 5 oder des § 6 erfüllt sind.</w:t>
      </w:r>
    </w:p>
    <w:p>
      <w:r>
        <w:t xml:space="preserve">(3) Die Veräußerung von Vermögensgegenständen ist darüber hinaus von der Genehmigungspflicht gemäß § 87 Absatz 1 Satz 2 der Brandenburgischen Kommunalverfassung freigestellt, wenn die Voraussetzungen des § 4 oder § 5 erfüllt sind.</w:t>
      </w:r>
    </w:p>
    <w:p>
      <w:r>
        <w:rPr>
          <w:color w:val="555555"/>
          <w:sz w:val="17"/>
        </w:rPr>
        <w:t xml:space="preserve">Zitiervorschlag: § 1 GenehmFV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https://recht.nulegal.eu/gesetze/GenehmFV/1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