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GenTVfV — Beteiligung anderer Stellen</w:t>
      </w:r>
    </w:p>
    <w:p>
      <w:r>
        <w:rPr>
          <w:color w:val="555555"/>
          <w:sz w:val="18"/>
        </w:rPr>
        <w:t xml:space="preserve">Gentechnik-Verfahrensverordnung</w:t>
      </w:r>
    </w:p>
    <w:p>
      <w:r>
        <w:rPr>
          <w:color w:val="555555"/>
          <w:sz w:val="18"/>
        </w:rPr>
        <w:t xml:space="preserve">Stand: 10.06.2019 (konsolidierte Textfassung, kein amtliches Inkrafttretensdatum)</w:t>
      </w:r>
    </w:p>
    <w:p>
      <w:r>
        <w:t xml:space="preserve">(1) Die zuständige Behörde leitet den Antrag auf Erteilung einer Genehmigung nach § 1 Nr. 1 und 2 und die erforderlichen Unterlagen zur gentechnischen Sicherheitsbeurteilung unverzüglich an die zu beteiligenden Stellen weiter.</w:t>
      </w:r>
    </w:p>
    <w:p>
      <w:r>
        <w:t xml:space="preserve">(2) Soweit eine zu erteilende Genehmigung nach § 22 Abs. 1 des Gentechnikgesetzes andere behördliche Entscheidungen mitumfaßt, leitet die zuständige Behörde den Antrag und die insoweit zur Prüfung erforderlichen Unterlagen unverzüglich an die jeweils zuständige Fachbehörde zur Feststellung weiter, ob die Voraussetzungen für die mitumfaßte Entscheidung gegeben sind.</w:t>
      </w:r>
    </w:p>
    <w:p>
      <w:r>
        <w:t xml:space="preserve">(3) Soweit nicht anders geregelt, setzt die zuständige Behörde den beteiligten Stellen und Fachbehörden für die Abgabe ihrer Äußerung eine angemessene Frist. Hat eine beteiligte Stelle oder Fachbehörde bis zum Ablauf der Frist keine Stellungnahme abgegeben, so kann die Genehmigungsbehörde davon ausgehen, daß die Stelle oder Fachbehörde sich nicht äußern will.</w:t>
      </w:r>
    </w:p>
    <w:p>
      <w:r>
        <w:rPr>
          <w:color w:val="555555"/>
          <w:sz w:val="17"/>
        </w:rPr>
        <w:t xml:space="preserve">Zitiervorschlag: § 9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