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GenTVfV — Unterlagen für eingeschlossene Entscheidungen</w:t>
      </w:r>
    </w:p>
    <w:p>
      <w:r>
        <w:rPr>
          <w:color w:val="555555"/>
          <w:sz w:val="18"/>
        </w:rPr>
        <w:t xml:space="preserve">Gentechnik-Verfahrensverordnung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Art und Umfang der einem Antrag auf Erteilung einer Anlagengenehmigung beizufügenden Unterlagen für die gemäß § 22 Abs. 1 des Gentechnikgesetzes im Einzelfall eingeschlossenen behördlichen Entscheidungen bestimmen sich nach den dafür jeweils maßgeblichen Rechtsvorschriften.</w:t>
      </w:r>
    </w:p>
    <w:p>
      <w:r>
        <w:rPr>
          <w:color w:val="555555"/>
          <w:sz w:val="17"/>
        </w:rPr>
        <w:t xml:space="preserve">Zitiervorschlag: § 8 GenTVfV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https://recht.nulegal.eu/gesetze/GenTVfV/8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