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GenTVfV — Ausnahmen von Angaben und Maßnahmen</w:t>
      </w:r>
    </w:p>
    <w:p>
      <w:r>
        <w:rPr>
          <w:color w:val="555555"/>
          <w:sz w:val="18"/>
        </w:rPr>
        <w:t xml:space="preserve">Gentechnik-Verfahrensverordnung</w:t>
      </w:r>
    </w:p>
    <w:p>
      <w:r>
        <w:rPr>
          <w:color w:val="555555"/>
          <w:sz w:val="18"/>
        </w:rPr>
        <w:t xml:space="preserve">Stand: 10.06.2019 (konsolidierte Textfassung, kein amtliches Inkrafttretensdatum)</w:t>
      </w:r>
    </w:p>
    <w:p>
      <w:r>
        <w:t xml:space="preserve">Kommen einzelne nach den §§ 4 bis 6 und den dazu bestehenden Anlagen geforderte Angaben und Maßnahmen wegen der Art des Einzelfalles nicht in Betracht, so ist dies in den Unterlagen zu vermerken. Sind Informationen zu solchen Angaben und Maßnahmen technisch unmöglich oder erscheinen sie nicht erforderlich, so sind jeweils die Gründe hierfür anzugeben.</w:t>
      </w:r>
    </w:p>
    <w:p>
      <w:r>
        <w:rPr>
          <w:color w:val="555555"/>
          <w:sz w:val="17"/>
        </w:rPr>
        <w:t xml:space="preserve">Zitiervorschlag: § 7 GenTVfV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https://recht.nulegal.eu/gesetze/GenTVfV/7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