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GenTVfV — Unterlagen bei Inverkehrbringen</w:t>
      </w:r>
    </w:p>
    <w:p>
      <w:r>
        <w:rPr>
          <w:color w:val="555555"/>
          <w:sz w:val="18"/>
        </w:rPr>
        <w:t xml:space="preserve">Gentechnik-Verfahrensverordnung</w:t>
      </w:r>
    </w:p>
    <w:p>
      <w:r>
        <w:rPr>
          <w:color w:val="555555"/>
          <w:sz w:val="18"/>
        </w:rPr>
        <w:t xml:space="preserve">Stand: 30.08.2019 (konsolidierte Textfassung, kein amtliches Inkrafttretensdatum)</w:t>
      </w:r>
    </w:p>
    <w:p>
      <w:r>
        <w:t xml:space="preserve">(1) Für folgende der in § 15 Abs. 3 Satz 3 des Gentechnikgesetzes bezeichneten Unterlagen zum Antrag auf Genehmigung des Inverkehrbringens gilt:</w:t>
      </w:r>
    </w:p>
    <w:p>
      <w:pPr>
        <w:ind w:left="420"/>
      </w:pPr>
      <w:r>
        <w:t xml:space="preserve">1. die nach § 15 Abs. 3 Satz 3 Nr. 2 des Gentechnikgesetzes erforderliche Bezeichnung und die dem Stand der Wissenschaft entsprechende Beschreibung des in Verkehr zu bringenden Produkts im Hinblick auf die gentechnisch veränderten spezifischen Eigenschaften erfolgt nach Anhang IV Abschnitt A der Richtlinie 2001/18/EG;</w:t>
      </w:r>
    </w:p>
    <w:p>
      <w:pPr>
        <w:ind w:left="420"/>
      </w:pPr>
      <w:r>
        <w:t xml:space="preserve">2. die nach § 15 Abs. 3 Satz 3 Nr. 3 des Gentechnikgesetzes erforderliche Beschreibung der zu erwartenden Verwendungsarten und der geplanten räumlichen Verbreitung erfolgt nach Anhang IV Abschnitt A der Richtlinie 2001/18/EG;</w:t>
      </w:r>
    </w:p>
    <w:p>
      <w:pPr>
        <w:ind w:left="420"/>
      </w:pPr>
      <w:r>
        <w:t xml:space="preserve">3. die nach § 15 Abs. 3 Satz 3 Nr. 4 des Gentechnikgesetzes erforderliche Risikobewertung und Darlegung der möglichen schädlichen Auswirkungen erfolgt nach Maßgabe des Anhangs II der Richtlinie 2001/18/EG auf der Grundlage der nach Anhang IV der Richtlinie 2001/18/EG vorzulegenden Informationen;</w:t>
      </w:r>
    </w:p>
    <w:p>
      <w:pPr>
        <w:ind w:left="420"/>
      </w:pPr>
      <w:r>
        <w:t xml:space="preserve">4. die nach § 15 Abs. 3 Satz 3 Nr. 5 des Gentechnikgesetzes erforderliche Beschreibung der geplanten Maßnahmen zur Kontrolle des weiteren Verhaltens oder der Qualität des in Verkehr zu bringenden Organismus oder Produkts, der entstehenden Reststoffe und ihrer Behandlung sowie der Notfallpläne erfolgt nach Anhang IV Abschnitt B der Richtlinie 2001/18/EG;</w:t>
      </w:r>
    </w:p>
    <w:p>
      <w:pPr>
        <w:ind w:left="420"/>
      </w:pPr>
      <w:r>
        <w:t xml:space="preserve">4a. der nach § 15 Abs. 3 Satz 3 Nr. 5a erforderliche Beobachtungsplan ist nach Maßgabe des Anhangs VII der Richtlinie 2001/18/EG sowie der Entscheidung des Rates vom 3. Oktober 2002 über Leitlinien zur Ergänzung des Anhangs VII der Richtlinie 2001/18/EG des Europäischen Parlaments und des Rates über die absichtliche Freisetzung genetisch veränderter Organismen in die Umwelt und zur Aufhebung der Richtlinie 90/220/EWG des Rates (ABl. EG Nr. L 280 S. 27) zu erstellen und hat die Angabe seiner Laufzeit zu enthalten;</w:t>
      </w:r>
    </w:p>
    <w:p>
      <w:pPr>
        <w:ind w:left="420"/>
      </w:pPr>
      <w:r>
        <w:t xml:space="preserve">5. die nach § 15 Abs. 3 Satz 3 Nr. 6 des Gentechnikgesetzes erforderliche Beschreibung von besonderen Bedingungen für den Umgang mit dem in Verkehr zu bringenden Produkt und der Vorschlag für seine Kennzeichnung und Verpackung erfolgt nach Anhang IV Abschnitt A Nr. 8 und Abschnitt B der Richtlinie 2001/18/EG.</w:t>
      </w:r>
    </w:p>
    <w:p>
      <w:r>
        <w:t xml:space="preserve">(2) Die durch das Inverkehrbringen möglichen sicherheitsrelevanten Auswirkungen auf die in § 1 Nr. 1 des Gentechnikgesetzes genannten Rechtsgüter nach Absatz 1 Nr. 3 sowie die Maßnahmen zur Kontrolle des weiteren Verhaltens und der Qualität des in Verkehr zu bringenden Produkts nach Absatz 1 Nr. 4 sind auf der Grundlage von Erfahrungen zu beurteilen, die bei der Freisetzung des gentechnisch veränderten Organismus gesammelt worden sind.</w:t>
      </w:r>
    </w:p>
    <w:p>
      <w:r>
        <w:t xml:space="preserve">(3) Der Antragsteller kann auf Antrag von der Vorlage von Unterlagen über einzelne der in Anhang IV Abschnitt B der Richtlinie 2001/18/EG aufgeführten Anforderungen befreit werden, wenn auf Grund der Ergebnisse einer genehmigten Freisetzung oder wissenschaftlicher Untersuchungen anzunehmen ist, daß mit dem Inverkehrbringen und der Verwendung eines gemäß Absatz 1 Nr. 1 beschriebenen Produkts kein Risiko für eines der in § 1 Nr. 1 des Gentechnikgesetzes genannten Rechtsgüter verbunden ist.</w:t>
      </w:r>
    </w:p>
    <w:p>
      <w:r>
        <w:rPr>
          <w:color w:val="555555"/>
          <w:sz w:val="17"/>
        </w:rPr>
        <w:t xml:space="preserve">Zitiervorschlag: § 6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