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GenTVfV — Unterlagen für gentechnische Anlagen, erstmalige oder weitere gentechnische Arbeiten</w:t>
      </w:r>
    </w:p>
    <w:p>
      <w:r>
        <w:rPr>
          <w:color w:val="555555"/>
          <w:sz w:val="18"/>
        </w:rPr>
        <w:t xml:space="preserve">Gentechnik-Verfahrensverordnung</w:t>
      </w:r>
    </w:p>
    <w:p>
      <w:r>
        <w:rPr>
          <w:color w:val="555555"/>
          <w:sz w:val="18"/>
        </w:rPr>
        <w:t xml:space="preserve">Stand: 10.06.2019 (konsolidierte Textfassung, kein amtliches Inkrafttretensdatum)</w:t>
      </w:r>
    </w:p>
    <w:p>
      <w:r>
        <w:t xml:space="preserve">(1) Die nach § 10 Abs. 2 und 3, nach § 12 Abs. 2 sowie nach § 12 Abs. 2a des Gentechnikgesetzes bezeichneten Unterlagen zur Anzeige zur Anmeldung oder zum Antrag auf Genehmigung einer gentechnischen Anlage, in denen gentechnische Arbeiten durchgeführt werden sollen, sowie zur Anzeige, zur Anmeldung oder zum Antrag auf Genehmigung weiterer gentechnischer Arbeiten bestimmen sich</w:t>
      </w:r>
    </w:p>
    <w:p>
      <w:pPr>
        <w:ind w:left="420"/>
      </w:pPr>
      <w:r>
        <w:t xml:space="preserve">1. für die Errichtung und den Betrieb und für die wesentliche Änderung der Lage, der Beschaffenheit oder des Betriebs einer gentechnischen Anlage sowie für die darin vorgesehenen gentechnischen Arbeiten im Falle der Sicherheitsstufe 1 nach Teil Ia der Anlage und im Falle der Sicherheitsstufe 2, 3 oder 4 nach Teil Ib der Anlage, soweit nicht wegen der Sicherheitsstufe Angaben nach Teil II oder III der Anlage erforderlich sind;</w:t>
      </w:r>
    </w:p>
    <w:p>
      <w:pPr>
        <w:ind w:left="420"/>
      </w:pPr>
      <w:r>
        <w:t xml:space="preserve">2. bei gentechnischen Arbeiten in der Sicherheitsstufe 2, wenn für diese Stufe keine Genehmigung beantragt wird, nach Teil II der Anlage;</w:t>
      </w:r>
    </w:p>
    <w:p>
      <w:pPr>
        <w:ind w:left="420"/>
      </w:pPr>
      <w:r>
        <w:t xml:space="preserve">3. bei gentechnischen Arbeiten in der Sicherheitsstufe 3 oder 4 sowie 2, wenn für diese Stufe eine Genehmigung beantragt wird, nach Teil III der Anlage.</w:t>
      </w:r>
    </w:p>
    <w:p>
      <w:pPr>
        <w:ind w:left="420"/>
      </w:pPr>
      <w:r>
        <w:t xml:space="preserve">4. (weggefallen)</w:t>
      </w:r>
    </w:p>
    <w:p>
      <w:r>
        <w:t xml:space="preserve">(2) Die vorzulegenden Angaben, Beschreibungen, Erklärungen, Bewertungen und Nachweise müssen insgesamt belegen, daß das vorgesehene Vorhaben die im Gentechnikgesetz und in der Gentechnik-Sicherheitsverordnung im einzelnen geregelten Anforderungen an die Risikobewertung, die Sicherheitseinstufung, die Sicherheitsmaßnahmen sowie an die Sachkunde des Projektleiters und des Beauftragten für die Biologische Sicherheit erfüllt.</w:t>
      </w:r>
    </w:p>
    <w:p>
      <w:r>
        <w:t xml:space="preserve">(3) Soweit nach § 18 des Gentechnikgesetzes ein Anhörungsverfahren durchzuführen ist, hat der Antragsteller der zuständigen Behörde außer den Unterlagen nach den Absätzen 1 und 2 eine allgemein verständliche, für die Auslegung geeignete Kurzbeschreibung der gentechnischen Anlage vorzulegen, die einen Überblick über die Anlage, ihren Betrieb und die darin durchzuführenden Arbeiten sowie die voraussichtlichen Auswirkungen auf die in § 1 Nr. 1 des Gentechnikgesetzes genannten Rechtsgüter ermöglicht.</w:t>
      </w:r>
    </w:p>
    <w:p>
      <w:r>
        <w:rPr>
          <w:color w:val="555555"/>
          <w:sz w:val="17"/>
        </w:rPr>
        <w:t xml:space="preserve">Zitiervorschlag: § 4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