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GenTVfV — Form der Entscheidung, Bekanntgabe</w:t>
      </w:r>
    </w:p>
    <w:p>
      <w:r>
        <w:rPr>
          <w:color w:val="555555"/>
          <w:sz w:val="18"/>
        </w:rPr>
        <w:t xml:space="preserve">Gentechnik-Verfahrensverordnung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Form der Entscheidung sowie deren Bekanntgabe und Zustellung gilt § 10 Abs. 7 und 8 des Bundes-Immissionsschutzgesetzes. Genehmigungen über die Errichtung, den Betrieb oder die wesentliche Änderung einer gentechnischen Anlage, über weitere gentechnische Arbeiten oder Freisetzungen, die ohne Anhörung nach § 18 des Gentechnikgesetzes erteilt werden, sind entsprechend § 10 Abs. 8 Satz 2 bis 5 des Bundes-Immissionsschutzgesetzes öffentlich bekanntzumachen. Nach der öffentlichen Bekanntmachung können der Genehmigungsbescheid und seine Begründung bis zum Ablauf der Widerspruchsfrist von den Beteiligten schriftlich angefordert werden; hierauf ist in der Bekanntmachung gleichfalls hinzuweisen.</w:t>
      </w:r>
    </w:p>
    <w:p>
      <w:r>
        <w:t xml:space="preserve">(2) Die Genehmigungsbehörde gibt Entscheidungen über das Inverkehrbringen im Bundesanzeiger öffentlich bekannt. Satz 1 gilt entsprechend für Entscheidungen im Sinne des § 14 Abs. 5 des Gentechnikgesetzes; diesen Entscheidungen ist eine deutsche Übersetzung beizufügen.</w:t>
      </w:r>
    </w:p>
    <w:p>
      <w:r>
        <w:rPr>
          <w:color w:val="555555"/>
          <w:sz w:val="17"/>
        </w:rPr>
        <w:t xml:space="preserve">Zitiervorschlag: § 12 GenTVfV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https://recht.nulegal.eu/gesetze/GenTVfV/12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