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GenTSV 2021 — Empfängerorganismen und Vektoren als Teil einer biologischen Sicherheitsmaßnahme</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Die Verwendung eines Empfängerorganismus kann als Teil einer biologischen Sicherheitsmaßnahme anerkannt werden, wenn</w:t>
      </w:r>
    </w:p>
    <w:p>
      <w:pPr>
        <w:ind w:left="420"/>
      </w:pPr>
      <w:r>
        <w:t xml:space="preserve">1. eine wissenschaftliche Beschreibung und eine taxonomische Einordnung des Empfängerorganismus vorliegen,</w:t>
      </w:r>
    </w:p>
    <w:p>
      <w:pPr>
        <w:ind w:left="420"/>
      </w:pPr>
      <w:r>
        <w:t xml:space="preserve">2. die Vermehrung des Empfängerorganismus nur unter Bedingungen möglich ist, die außerhalb gentechnischer Anlagen selten oder nicht angetroffen werden, oder wenn die Möglichkeit besteht, die Ausbreitung des Empfängerorganismus außerhalb gentechnischer Anlagen durch geeignete Maßnahmen unter Kontrolle zu halten,</w:t>
      </w:r>
    </w:p>
    <w:p>
      <w:pPr>
        <w:ind w:left="420"/>
      </w:pPr>
      <w:r>
        <w:t xml:space="preserve">3. der Empfängerorganismus keine bei Menschen, Tieren oder Pflanzen Krankheiten hervorrufenden und keine umweltgefährdenden Eigenschaften aufweist und</w:t>
      </w:r>
    </w:p>
    <w:p>
      <w:pPr>
        <w:ind w:left="420"/>
      </w:pPr>
      <w:r>
        <w:t xml:space="preserve">4. der Empfängerorganismus nur einen geringen horizontalen Genaustausch mit anderen Spezies betreibt.</w:t>
      </w:r>
    </w:p>
    <w:p>
      <w:r>
        <w:t xml:space="preserve">(2) Die Verwendung eines Vektors kann als Teil einer biologischen Sicherheitsmaßnahme anerkannt werden, wenn</w:t>
      </w:r>
    </w:p>
    <w:p>
      <w:pPr>
        <w:ind w:left="420"/>
      </w:pPr>
      <w:r>
        <w:t xml:space="preserve">1. eine ausreichende Charakterisierung des Genoms des Vektors vorliegt,</w:t>
      </w:r>
    </w:p>
    <w:p>
      <w:pPr>
        <w:ind w:left="420"/>
      </w:pPr>
      <w:r>
        <w:t xml:space="preserve">2. eine begrenzte Wirtsspezifität des Vektors besteht und</w:t>
      </w:r>
    </w:p>
    <w:p>
      <w:pPr>
        <w:ind w:left="420"/>
      </w:pPr>
      <w:r>
        <w:t xml:space="preserve">3. bei einem Vektor für</w:t>
      </w:r>
    </w:p>
    <w:p>
      <w:pPr>
        <w:ind w:left="780"/>
      </w:pPr>
      <w:r>
        <w:t xml:space="preserve">a) Bakterien oder Pilze kein eigenes Transfersystem, eine geringe Cotransfer-Rate und eine geringe Mobilisierbarkeit besteht oder</w:t>
      </w:r>
    </w:p>
    <w:p>
      <w:pPr>
        <w:ind w:left="780"/>
      </w:pPr>
      <w:r>
        <w:t xml:space="preserve">b) eukaryote Zellen auf viraler Basis keine eigenständige Infektiosität und ein geringer Transfer durch endogene Helferviren zu erwarten ist.</w:t>
      </w:r>
    </w:p>
    <w:p>
      <w:r>
        <w:rPr>
          <w:color w:val="555555"/>
          <w:sz w:val="17"/>
        </w:rPr>
        <w:t xml:space="preserve">Zitiervorschlag: § 8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