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GenTSV 2021 — Grundlagen der Risikobewertung und der Sicherheitseinstufung gentechnischer Arbeiten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Die Risikobewertung und die Zuordnung gentechnischer Arbeiten zu den Sicherheitsstufen nach § 7 Absatz 1 des Gentechnikgesetzes erfolgen unter Berücksichtigung der Risikobewertung der Organismen nach den §§ 5 und 6 sowie der vorgesehenen biologischen Sicherheitsmaßnahmen nach den §§ 7 und 8 auf der Grundlage einer Gesamtbewertung folgender Punkte:</w:t>
      </w:r>
    </w:p>
    <w:p>
      <w:pPr>
        <w:ind w:left="420"/>
      </w:pPr>
      <w:r>
        <w:t xml:space="preserve">1. Feststellung aller für die Sicherheit bedeutsamen Eigenschaften</w:t>
      </w:r>
    </w:p>
    <w:p>
      <w:pPr>
        <w:ind w:left="780"/>
      </w:pPr>
      <w:r>
        <w:t xml:space="preserve">a) des Empfänger- oder des Ausgangsorganismus,</w:t>
      </w:r>
    </w:p>
    <w:p>
      <w:pPr>
        <w:ind w:left="780"/>
      </w:pPr>
      <w:r>
        <w:t xml:space="preserve">b) des überführten genetischen Materials,</w:t>
      </w:r>
    </w:p>
    <w:p>
      <w:pPr>
        <w:ind w:left="780"/>
      </w:pPr>
      <w:r>
        <w:t xml:space="preserve">c) des Vektors, sofern verwendet,</w:t>
      </w:r>
    </w:p>
    <w:p>
      <w:pPr>
        <w:ind w:left="780"/>
      </w:pPr>
      <w:r>
        <w:t xml:space="preserve">d) des Spenderorganismus, sofern ein Spenderorganismus während des Vorgangs verwendet wird,</w:t>
      </w:r>
    </w:p>
    <w:p>
      <w:pPr>
        <w:ind w:left="780"/>
      </w:pPr>
      <w:r>
        <w:t xml:space="preserve">e) des aus der Tätigkeit hervorgehenden gentechnisch veränderten Organismus,</w:t>
      </w:r>
    </w:p>
    <w:p>
      <w:pPr>
        <w:ind w:left="420"/>
      </w:pPr>
      <w:r>
        <w:t xml:space="preserve">2. Merkmale der Tätigkeit,</w:t>
      </w:r>
    </w:p>
    <w:p>
      <w:pPr>
        <w:ind w:left="420"/>
      </w:pPr>
      <w:r>
        <w:t xml:space="preserve">3. Schwere und Wahrscheinlichkeit einer Gefährdung für die in § 1 Nummer 1 des Gentechnikgesetzes genannten Rechtsgüter.</w:t>
      </w:r>
    </w:p>
    <w:p>
      <w:r>
        <w:rPr>
          <w:color w:val="555555"/>
          <w:sz w:val="17"/>
        </w:rPr>
        <w:t xml:space="preserve">Zitiervorschlag: § 4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