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GenTSV 2021 — Inaktivierung von gentechnisch veränderten Organismen vor der Abwasser- oder Abfallentsorgung</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Eine Inaktivierung von gentechnisch veränderten Organismen nach § 23 Absatz 1 Satz 2 in Verbindung mit Absatz 2 Nummer 1 liegt in der Regel dann vor, wenn das Abwasser oder der Abfall bei einer Temperatur von 121 Grad Celsius für die Dauer von 20 Minuten autoklaviert wird. Bei thermostabilen Organismen, bei Dauerformen von Organismen oder bei Organismen, die einen thermostabilen Stoff mit Gefährdungspotenzial bilden, kann beim Autoklavieren eine Erhöhung der Temperatur auf 134 Grad Celsius oder eine Verlängerung der Einwirkzeit erforderlich sein. Beim Autoklavieren von gentechnisch veränderten Mikroorganismen in besonderen Matrices, wie in Tierkadavern, muss sichergestellt sein, dass die in den Sätzen 1 und 2 aufgeführten Temperaturen und Einwirkzeiten in allen Schichten erreicht werden. In den in den Sätzen 2 und 3 aufgeführten Fällen soll die Wirksamkeit der vorgesehenen Inaktivierung vor deren Nutzung nachgewiesen werden.</w:t>
      </w:r>
    </w:p>
    <w:p>
      <w:r>
        <w:t xml:space="preserve">(2) Auf Antrag kann die zuständige Behörde auch andere physikalische Verfahren als das Autoklavieren zulassen. Die zuständige Behörde kann auf Antrag Verfahren zur chemischen Inaktivierung zulassen, wenn sichergestellt ist, dass sie umweltverträglich sind und die Anforderungen des § 23 eingehalten werden. Insbesondere dürfen keine Hinweise dafür vorliegen, dass von den eingesetzten Inaktivierungsstoffen schädliche Auswirkungen auf eine nachgeschaltete Abwasserbehandlungsanlage, auf Gewässer oder auf den Abfall, der nach der Inaktivierung entsorgt wird, ausgehen.</w:t>
      </w:r>
    </w:p>
    <w:p>
      <w:r>
        <w:t xml:space="preserve">(3) Der Betreiber hat die Wirksamkeit des alternativen Verfahrens nach Absatz 2 gegenüber der zuständigen Behörde in geeigneter Weise, zum Beispiel durch Vorlage einer Inaktivierungskinetik, nachzuweisen.</w:t>
      </w:r>
    </w:p>
    <w:p>
      <w:r>
        <w:rPr>
          <w:color w:val="555555"/>
          <w:sz w:val="17"/>
        </w:rPr>
        <w:t xml:space="preserve">Zitiervorschlag: § 25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