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GenTSV 2021 — Entsorgung von Abwässern und Abfällen ohne Vorbehandlung bei gentechnischen Arbeiten der Sicherheitsstufen 1 und 2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Abweichend von § 23 können folgende Abwässer sowie folgende flüssige und feste Abfälle ohne besondere Vorbehandlung entsorgt werden:</w:t>
      </w:r>
    </w:p>
    <w:p>
      <w:pPr>
        <w:ind w:left="420"/>
      </w:pPr>
      <w:r>
        <w:t xml:space="preserve">1. Dusch- und Handwaschwasser sowie vergleichbare Abwässer aus Anlagen, in denen gentechnische Arbeiten der Sicherheitsstufe 1 oder 2 nach § 7 Absatz 1 Satz 1 Nummer 1 oder 2 des Gentechnikgesetzes durchgeführt werden,</w:t>
      </w:r>
    </w:p>
    <w:p>
      <w:pPr>
        <w:ind w:left="420"/>
      </w:pPr>
      <w:r>
        <w:t xml:space="preserve">2. flüssiger und fester Abfall aus Anlagen, in denen gentechnische Arbeiten der Sicherheitsstufen 1 oder 2 nach § 7 Absatz 1 Satz 1 Nummer 1 oder 2 des Gentechnikgesetzes durchgeführt werden, wenn der Abfall nicht in unmittelbarem Zusammenhang mit gentechnischen Arbeiten angefallen und damit nicht potentiell mit gentechnisch veränderten Organismen behaftet ist, und</w:t>
      </w:r>
    </w:p>
    <w:p>
      <w:pPr>
        <w:ind w:left="420"/>
      </w:pPr>
      <w:r>
        <w:t xml:space="preserve">3. flüssiger und fester Abfall, der aus Anlagen stammt, in denen ausschließlich gentechnische Arbeiten der Sicherheitsstufe 1 durchgeführt werden, und der in unmittelbarem Zusammenhang mit diesen gentechnischen Arbeiten angefallen ist, wenn</w:t>
      </w:r>
    </w:p>
    <w:p>
      <w:pPr>
        <w:ind w:left="780"/>
      </w:pPr>
      <w:r>
        <w:t xml:space="preserve">a) zur Erzeugung der gentechnisch veränderten Mikroorganismen</w:t>
      </w:r>
    </w:p>
    <w:p>
      <w:pPr>
        <w:ind w:left="1140"/>
      </w:pPr>
      <w:r>
        <w:t xml:space="preserve">aa) solche Stämme als Empfängerorganismen der Risikogruppe 1 verwendet werden, die die Bedingungen des § 8 Absatz 1 erfüllen,</w:t>
      </w:r>
    </w:p>
    <w:p>
      <w:pPr>
        <w:ind w:left="1140"/>
      </w:pPr>
      <w:r>
        <w:t xml:space="preserve">bb) die Vektoren die Bedingungen des § 8 Absatz 2 erfüllen und</w:t>
      </w:r>
    </w:p>
    <w:p>
      <w:pPr>
        <w:ind w:left="1140"/>
      </w:pPr>
      <w:r>
        <w:t xml:space="preserve">cc) von den eingeführten Nukleinsäuren keine schädlichen Auswirkungen auf die in § 1 Nummer 1 des Gentechnikgesetzes bezeichneten Rechtsgüter zu erwarten sind</w:t>
      </w:r>
    </w:p>
    <w:p>
      <w:pPr>
        <w:ind w:left="780"/>
      </w:pPr>
      <w:r>
        <w:t xml:space="preserve">oder</w:t>
      </w:r>
    </w:p>
    <w:p>
      <w:pPr>
        <w:ind w:left="780"/>
      </w:pPr>
      <w:r>
        <w:t xml:space="preserve">b) der Abfall so gering kontaminiert ist, dass schädliche Auswirkungen auf die in § 1 Nummer 1 des Gentechnikgesetzes bezeichneten Rechtsgüter nicht zu erwarten sind.</w:t>
      </w:r>
    </w:p>
    <w:p>
      <w:r>
        <w:t xml:space="preserve">(2) Für Abwasser, außer für Dusch- und Handwaschwasser, gilt Absatz 1 Satz 1 Nummer 2 und 3 entsprechend.</w:t>
      </w:r>
    </w:p>
    <w:p>
      <w:r>
        <w:rPr>
          <w:color w:val="555555"/>
          <w:sz w:val="17"/>
        </w:rPr>
        <w:t xml:space="preserve">Zitiervorschlag: § 24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