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GenTSV 2021 — Abwasser- und Abfallbehandlung bei gentechnischen Arbeiten der Sicherheitsstufen 1 und 2</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Der Betreiber hat dafür zu sorgen, dass Abwasser sowie flüssiger und fester Abfall aus Anlagen, in denen gentechnische Arbeiten der Sicherheitsstufe 1 oder 2 nach § 7 Absatz 1 Satz 1 Nummer 1 oder 2 des Gentechnikgesetzes durchgeführt werden, so vorbehandelt werden, dass die darin enthaltenen gentechnisch veränderten Organismen so weit inaktiviert werden, dass Gefahren für die in § 1 Nummer 1 des Gentechnikgesetzes bezeichneten Rechtsgüter nicht zu erwarten sind. Die Anforderungen an die Vorbehandlung nach Satz 1 gelten als erfüllt, wenn mittels einer Inaktivierungskinetik nachgewiesen wird, dass die Inaktivierungsdauer mindestens dem Wert entspricht, bei dem keine Vermehrungsfähigkeit und gegebenenfalls keine Infektionsfähigkeit des gentechnisch veränderten Organismus mehr beobachtet wird.</w:t>
      </w:r>
    </w:p>
    <w:p>
      <w:r>
        <w:t xml:space="preserve">(2) Als Methoden der Abwasser- und Abfallbehandlung kommen insbesondere in Betracht:</w:t>
      </w:r>
    </w:p>
    <w:p>
      <w:pPr>
        <w:ind w:left="420"/>
      </w:pPr>
      <w:r>
        <w:t xml:space="preserve">1. Inaktivierung des gentechnisch veränderten Organismus durch physikalische Verfahren, wie die Einwirkung von bestimmten Temperatur- und Druckbedingungen während bestimmter Verweilzeiten, oder</w:t>
      </w:r>
    </w:p>
    <w:p>
      <w:pPr>
        <w:ind w:left="420"/>
      </w:pPr>
      <w:r>
        <w:t xml:space="preserve">2. Inaktivierung des gentechnisch veränderten Organismus mit chemischen Verfahren durch Einwirkung von geeigneten Chemikalien unter bestimmten Temperatur-, Verweilzeit- und Konzentrationsbedingungen, sofern die Beschaffenheit des Abfalls oder des Abwassers ein physikalisches Inaktivierungsverfahren nach Nummer 1 nicht zulässt.</w:t>
      </w:r>
    </w:p>
    <w:p>
      <w:r>
        <w:rPr>
          <w:color w:val="555555"/>
          <w:sz w:val="17"/>
        </w:rPr>
        <w:t xml:space="preserve">Zitiervorschlag: § 23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