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GenTSV 2021 — Unterrichtung der Beschäftigten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Der Betreiber hat die betroffenen Beschäftigten und, wenn ein Betriebs- oder Personalrat vorhanden ist, diesen sowie den Betriebsarzt über Folgendes zu unterrichten:</w:t>
      </w:r>
    </w:p>
    <w:p>
      <w:pPr>
        <w:ind w:left="420"/>
      </w:pPr>
      <w:r>
        <w:t xml:space="preserve">1. über die mit den gentechnischen Arbeiten verbundenen Risiken und die zu treffenden Sicherheitsmaßnahmen und</w:t>
      </w:r>
    </w:p>
    <w:p>
      <w:pPr>
        <w:ind w:left="420"/>
      </w:pPr>
      <w:r>
        <w:t xml:space="preserve">2. über die Gründe für die Auswahl der Schutzausrüstungen und die Bedingungen, unter denen sie zu benutzen sind, sofern der Betreiber Schutzausrüstungen zur Verfügung zu stellen hat.</w:t>
      </w:r>
    </w:p>
    <w:p>
      <w:r>
        <w:t xml:space="preserve">(2) Bei Betriebsstörungen sind die betroffenen Beschäftigten und der Betriebs- oder Personalrat zu unterrichten. In dringenden Fällen hat der Betreiber die betroffenen Beschäftigten und den Betriebs- oder Personalrat über getroffene Maßnahmen unverzüglich zu unterrichten. Satz 1 gilt auch für den Fall, dass nach der Überprüfung eines Arbeitsplatzes Maßnahmen getroffen werden, die aufgrund von Erkenntnissen aus der arbeitsmedizinischen Vorsorge erforderlich sind.</w:t>
      </w:r>
    </w:p>
    <w:p>
      <w:r>
        <w:t xml:space="preserve">(3) Der Betriebs- oder Personalrat sowie der Betriebsarzt haben das Recht, dem Betreiber zur Abwendung gesundheitlicher Schäden im Einzelfall zusätzliche Schutzmaßnahmen vorzuschlagen, die über die in dieser Verordnung vorgesehenen Maßnahmen hinausgehen.</w:t>
      </w:r>
    </w:p>
    <w:p>
      <w:r>
        <w:t xml:space="preserve">(4) Unterrichtungs- und Beteiligungspflichten nach anderen Rechtsvorschriften bleiben unberührt.</w:t>
      </w:r>
    </w:p>
    <w:p>
      <w:r>
        <w:t xml:space="preserve">(5) Unterrichtungs- und Beteiligungspflichten gegenüber dem Betriebs- oder Personalrat sowie gegenüber den Beschäftigten bestehen nur insoweit, als die Betroffenen Beschäftigte im Sinne des Betriebsverfassungsgesetzes oder der Personalvertretungsgesetze sind.</w:t>
      </w:r>
    </w:p>
    <w:p>
      <w:r>
        <w:rPr>
          <w:color w:val="555555"/>
          <w:sz w:val="17"/>
        </w:rPr>
        <w:t xml:space="preserve">Zitiervorschlag: § 21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