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GenTSV 2021 — Arbeitsmedizinische Präventionsmaßnahmen</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Der Betreiber hat für Beschäftigte, die gentechnische Arbeiten mit Organismen durchführen, die eine Gefährdung für die menschliche Gesundheit darstellen können, angemessene arbeitsmedizinische Präventionsmaßnahmen zu treffen. Diese umfassen die in § 14 Absatz 2 der Biostoffverordnung vom 15. Juli 2013 (BGBl. I S. 2514), die durch Artikel 146 des Gesetzes vom 29. März 2017 (BGBl. I S. 626) geändert worden ist, sowie die in der Verordnung zur arbeitsmedizinischen Vorsorge vom 18. Dezember 2008 (BGBl. I S. 2768), die zuletzt durch Artikel 3 Absatz 1 der Verordnung vom 15. November 2016 (BGBl. I S. 2549) geändert worden ist, genannten Regelungen und Maßnahmen.</w:t>
      </w:r>
    </w:p>
    <w:p>
      <w:r>
        <w:t xml:space="preserve">(1a) Der Betreiber muss mit Arbeitgebern von Fremdfirmen die Durchführung angemessener arbeitsmedizinischer Präventionsmaßnahmen abstimmen.</w:t>
      </w:r>
    </w:p>
    <w:p>
      <w:r>
        <w:t xml:space="preserve">(2) Das Bundesministerium für Arbeit und Soziales kann nach Anhörung der Zentralen Kommission für die Biologische Sicherheit die vom Ausschuss für Arbeitsmedizin ermittelten Regeln und Erkenntnisse zur arbeitsmedizinischen Vorsorge bei gentechnischen Arbeiten im Gemeinsamen Ministerialblatt bekannt geben.</w:t>
      </w:r>
    </w:p>
    <w:p>
      <w:r>
        <w:rPr>
          <w:color w:val="555555"/>
          <w:sz w:val="17"/>
        </w:rPr>
        <w:t xml:space="preserve">Zitiervorschlag: § 20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