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GenTSV 2021 — Sicherheitsstufen und Sicherheitsmaßnahmen</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Gentechnische Arbeiten in gentechnischen Anlagen sind nach Maßgabe der §§ 4 bis 12 den in § 7 Absatz 1 des Gentechnikgesetzes genannten Sicherheitsstufen zuzuordnen.</w:t>
      </w:r>
    </w:p>
    <w:p>
      <w:r>
        <w:t xml:space="preserve">(2) Für jede Sicherheitsstufe sind in den §§ 13 bis 26 und in den Anhängen zu dieser Verordnung Sicherheitsmaßnahmen bestimmt. Diese Sicherheitsmaßnahmen stellen die Anforderungen für den Regelfall, aber keine abschließende Aufzählung dar. Im Einzelfall kann im Hinblick auf die besonderen sicherheitsrelevanten Umstände einer gentechnischen Arbeit</w:t>
      </w:r>
    </w:p>
    <w:p>
      <w:pPr>
        <w:ind w:left="420"/>
      </w:pPr>
      <w:r>
        <w:t xml:space="preserve">1. es erforderlich sein, zum Schutz der Rechtsgüter nach § 1 Nummer 1 des Gentechnikgesetzes bestimmte zusätzliche Sicherheitsmaßnahmen festzulegen,</w:t>
      </w:r>
    </w:p>
    <w:p>
      <w:pPr>
        <w:ind w:left="420"/>
      </w:pPr>
      <w:r>
        <w:t xml:space="preserve">2. von bestimmten Sicherheitsmaßnahmen abgesehen werden, wenn der Schutz der Rechtsgüter nach § 1 Nummer 1 des Gentechnikgesetzes auch ohne diese Maßnahmen oder auf andere Weise gewährleistet ist.</w:t>
      </w:r>
    </w:p>
    <w:p>
      <w:r>
        <w:rPr>
          <w:color w:val="555555"/>
          <w:sz w:val="17"/>
        </w:rPr>
        <w:t xml:space="preserve">Zitiervorschlag: § 2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